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jc w:val="center"/>
      </w:pPr>
      <w:r>
        <w:rPr>
          <w:rFonts w:ascii="Aptos Display" w:hAnsi="Aptos Display"/>
          <w:b/>
          <w:color w:val="1F4E79"/>
          <w:sz w:val="54"/>
        </w:rPr>
        <w:t>A MACHINE-OPERABLE</w:t>
        <w:br/>
        <w:t>ORGANISATION OPERATING SYSTEM</w:t>
      </w:r>
    </w:p>
    <w:p>
      <w:pPr>
        <w:jc w:val="center"/>
      </w:pPr>
      <w:r>
        <w:rPr>
          <w:i/>
          <w:color w:val="595959"/>
          <w:sz w:val="28"/>
        </w:rPr>
        <w:t>A reference architecture for evidence-based, human-governed AI organisations</w:t>
      </w:r>
    </w:p>
    <w:p>
      <w:r>
        <w:br/>
      </w:r>
    </w:p>
    <w:tbl>
      <w:tblPr>
        <w:tblW w:type="auto" w:w="0"/>
        <w:jc w:val="center"/>
        <w:tblLayout w:type="fixed"/>
        <w:tblLook w:firstColumn="1" w:firstRow="1" w:lastColumn="0" w:lastRow="0" w:noHBand="0" w:noVBand="1" w:val="04A0"/>
      </w:tblPr>
      <w:tblGrid>
        <w:gridCol w:w="4896"/>
        <w:gridCol w:w="4896"/>
      </w:tblGrid>
      <w:tr>
        <w:tc>
          <w:tcPr>
            <w:tcW w:type="dxa" w:w="2160"/>
            <w:tcMar>
              <w:top w:w="100" w:type="dxa"/>
              <w:start w:w="130" w:type="dxa"/>
              <w:bottom w:w="100" w:type="dxa"/>
              <w:end w:w="130" w:type="dxa"/>
            </w:tcMar>
            <w:shd w:fill="D9EAF7"/>
          </w:tcPr>
          <w:p>
            <w:pPr>
              <w:spacing w:after="40"/>
            </w:pPr>
            <w:r>
              <w:rPr>
                <w:rFonts w:ascii="Aptos" w:hAnsi="Aptos"/>
                <w:b/>
                <w:sz w:val="19"/>
              </w:rPr>
              <w:t>Author</w:t>
            </w:r>
          </w:p>
        </w:tc>
        <w:tc>
          <w:tcPr>
            <w:tcW w:type="dxa" w:w="6192"/>
            <w:tcMar>
              <w:top w:w="100" w:type="dxa"/>
              <w:start w:w="130" w:type="dxa"/>
              <w:bottom w:w="100" w:type="dxa"/>
              <w:end w:w="130" w:type="dxa"/>
            </w:tcMar>
          </w:tcPr>
          <w:p>
            <w:pPr>
              <w:spacing w:after="40"/>
            </w:pPr>
            <w:r>
              <w:rPr>
                <w:rFonts w:ascii="Aptos" w:hAnsi="Aptos"/>
                <w:sz w:val="19"/>
              </w:rPr>
              <w:t>Sarah Ailish McLoughlin</w:t>
            </w:r>
          </w:p>
        </w:tc>
      </w:tr>
      <w:tr>
        <w:tc>
          <w:tcPr>
            <w:tcW w:type="dxa" w:w="2160"/>
            <w:tcMar>
              <w:top w:w="100" w:type="dxa"/>
              <w:start w:w="130" w:type="dxa"/>
              <w:bottom w:w="100" w:type="dxa"/>
              <w:end w:w="130" w:type="dxa"/>
            </w:tcMar>
            <w:shd w:fill="D9EAF7"/>
          </w:tcPr>
          <w:p>
            <w:pPr>
              <w:spacing w:after="40"/>
            </w:pPr>
            <w:r>
              <w:rPr>
                <w:rFonts w:ascii="Aptos" w:hAnsi="Aptos"/>
                <w:b/>
                <w:sz w:val="19"/>
              </w:rPr>
              <w:t>Organisation</w:t>
            </w:r>
          </w:p>
        </w:tc>
        <w:tc>
          <w:tcPr>
            <w:tcW w:type="dxa" w:w="6192"/>
            <w:tcMar>
              <w:top w:w="100" w:type="dxa"/>
              <w:start w:w="130" w:type="dxa"/>
              <w:bottom w:w="100" w:type="dxa"/>
              <w:end w:w="130" w:type="dxa"/>
            </w:tcMar>
          </w:tcPr>
          <w:p>
            <w:pPr>
              <w:spacing w:after="40"/>
            </w:pPr>
            <w:r>
              <w:rPr>
                <w:rFonts w:ascii="Aptos" w:hAnsi="Aptos"/>
                <w:sz w:val="19"/>
              </w:rPr>
              <w:t>EduLinked Pty Ltd</w:t>
            </w:r>
          </w:p>
        </w:tc>
      </w:tr>
      <w:tr>
        <w:tc>
          <w:tcPr>
            <w:tcW w:type="dxa" w:w="2160"/>
            <w:tcMar>
              <w:top w:w="100" w:type="dxa"/>
              <w:start w:w="130" w:type="dxa"/>
              <w:bottom w:w="100" w:type="dxa"/>
              <w:end w:w="130" w:type="dxa"/>
            </w:tcMar>
            <w:shd w:fill="D9EAF7"/>
          </w:tcPr>
          <w:p>
            <w:pPr>
              <w:spacing w:after="40"/>
            </w:pPr>
            <w:r>
              <w:rPr>
                <w:rFonts w:ascii="Aptos" w:hAnsi="Aptos"/>
                <w:b/>
                <w:sz w:val="19"/>
              </w:rPr>
              <w:t>Document type</w:t>
            </w:r>
          </w:p>
        </w:tc>
        <w:tc>
          <w:tcPr>
            <w:tcW w:type="dxa" w:w="6192"/>
            <w:tcMar>
              <w:top w:w="100" w:type="dxa"/>
              <w:start w:w="130" w:type="dxa"/>
              <w:bottom w:w="100" w:type="dxa"/>
              <w:end w:w="130" w:type="dxa"/>
            </w:tcMar>
          </w:tcPr>
          <w:p>
            <w:pPr>
              <w:spacing w:after="40"/>
            </w:pPr>
            <w:r>
              <w:rPr>
                <w:rFonts w:ascii="Aptos" w:hAnsi="Aptos"/>
                <w:sz w:val="19"/>
              </w:rPr>
              <w:t>Technical paper / reference architecture</w:t>
            </w:r>
          </w:p>
        </w:tc>
      </w:tr>
      <w:tr>
        <w:tc>
          <w:tcPr>
            <w:tcW w:type="dxa" w:w="2160"/>
            <w:tcMar>
              <w:top w:w="100" w:type="dxa"/>
              <w:start w:w="130" w:type="dxa"/>
              <w:bottom w:w="100" w:type="dxa"/>
              <w:end w:w="130" w:type="dxa"/>
            </w:tcMar>
            <w:shd w:fill="D9EAF7"/>
          </w:tcPr>
          <w:p>
            <w:pPr>
              <w:spacing w:after="40"/>
            </w:pPr>
            <w:r>
              <w:rPr>
                <w:rFonts w:ascii="Aptos" w:hAnsi="Aptos"/>
                <w:b/>
                <w:sz w:val="19"/>
              </w:rPr>
              <w:t>Version</w:t>
            </w:r>
          </w:p>
        </w:tc>
        <w:tc>
          <w:tcPr>
            <w:tcW w:type="dxa" w:w="6192"/>
            <w:tcMar>
              <w:top w:w="100" w:type="dxa"/>
              <w:start w:w="130" w:type="dxa"/>
              <w:bottom w:w="100" w:type="dxa"/>
              <w:end w:w="130" w:type="dxa"/>
            </w:tcMar>
          </w:tcPr>
          <w:p>
            <w:pPr>
              <w:spacing w:after="40"/>
            </w:pPr>
            <w:r>
              <w:rPr>
                <w:rFonts w:ascii="Aptos" w:hAnsi="Aptos"/>
                <w:sz w:val="19"/>
              </w:rPr>
              <w:t>Working Paper 1.0 — 29 July 2026</w:t>
            </w:r>
          </w:p>
        </w:tc>
      </w:tr>
    </w:tbl>
    <w:p>
      <w:pPr>
        <w:spacing w:before="720"/>
        <w:jc w:val="center"/>
      </w:pPr>
      <w:r>
        <w:rPr>
          <w:b/>
          <w:color w:val="2F75B5"/>
        </w:rPr>
        <w:t>EduLinked Organisation Science and AI Systems Programme</w:t>
      </w:r>
    </w:p>
    <w:p>
      <w:r>
        <w:br w:type="page"/>
      </w:r>
    </w:p>
    <w:p>
      <w:pPr>
        <w:pStyle w:val="Heading1"/>
        <w:keepNext/>
      </w:pPr>
      <w:r>
        <w:t>Abstract</w:t>
      </w:r>
    </w:p>
    <w:p>
      <w:pPr>
        <w:pStyle w:val="BodyText"/>
      </w:pPr>
      <w:r>
        <w:t>Modern organisations are coordinated through natural-language documents, disconnected applications, informal routines, and human interpretation. Large language models can assist with organisational work, but they usually operate over representations that are difficult to audit, govern, reproduce, or connect to authoritative evidence. This paper proposes a machine-operable Organisation Operating System (OOS): a reference architecture in which organisational entities, capabilities, roles, goals, constraints, evidence, decisions, work packages, and state transitions are represented as explicit computational objects.</w:t>
      </w:r>
    </w:p>
    <w:p>
      <w:pPr>
        <w:pStyle w:val="BodyText"/>
      </w:pPr>
      <w:r>
        <w:t>The architecture treats artificial intelligence as a governed participant within an organisational system rather than as an external conversational assistant. Machine actions are executed through typed contracts, bounded authorities, validation gates, evidence links, and state-transition records. Human accountability remains explicit: machines may analyse, draft, recommend, validate, or execute only within delegated scopes, while designated people retain responsibility for consequential decisions.</w:t>
      </w:r>
    </w:p>
    <w:p>
      <w:pPr>
        <w:pStyle w:val="BodyText"/>
      </w:pPr>
      <w:r>
        <w:t>The paper defines the core model, design principles, operational layers, observability requirements, governance mechanisms, and a reference implementation pattern. It also proposes an empirical research programme for testing whether structured organisational representations improve transparency, coherence, reproducibility, alignment, resilience, and learning in human-AI organisations. The purpose is not to claim a universal theory of organisation, but to establish a technically tractable architecture through which organisational systems can be represented, operated, measured, compared, and progressively improved.</w:t>
      </w:r>
    </w:p>
    <w:p>
      <w:pPr>
        <w:pStyle w:val="Heading2"/>
        <w:keepNext/>
      </w:pPr>
      <w:r>
        <w:t>Keywords</w:t>
      </w:r>
    </w:p>
    <w:p>
      <w:pPr>
        <w:pStyle w:val="BodyText"/>
      </w:pPr>
      <w:r>
        <w:t>Organisation operating system; organisation science; machine-operable organisations; human-AI governance; organisational ontology; evidence graphs; agent systems; observability; alignment; state transitions; computational organisation design.</w:t>
      </w:r>
    </w:p>
    <w:p>
      <w:pPr>
        <w:pStyle w:val="Heading1"/>
        <w:keepNext/>
      </w:pPr>
      <w:r>
        <w:t>Executive proposition</w:t>
      </w:r>
    </w:p>
    <w:tbl>
      <w:tblPr>
        <w:tblW w:type="auto" w:w="0"/>
        <w:jc w:val="center"/>
        <w:tblLayout w:type="fixed"/>
        <w:tblLook w:firstColumn="1" w:firstRow="1" w:lastColumn="0" w:lastRow="0" w:noHBand="0" w:noVBand="1" w:val="04A0"/>
      </w:tblPr>
      <w:tblGrid>
        <w:gridCol w:w="9360"/>
      </w:tblGrid>
      <w:tr>
        <w:tc>
          <w:tcPr>
            <w:tcW w:type="dxa" w:w="9792"/>
            <w:shd w:fill="EAF2F8"/>
            <w:tcMar>
              <w:top w:w="180" w:type="dxa"/>
              <w:start w:w="220" w:type="dxa"/>
              <w:bottom w:w="180" w:type="dxa"/>
              <w:end w:w="220" w:type="dxa"/>
            </w:tcMar>
          </w:tcPr>
          <w:p>
            <w:pPr>
              <w:spacing w:after="40"/>
            </w:pPr>
            <w:r>
              <w:rPr>
                <w:rFonts w:ascii="Aptos" w:hAnsi="Aptos"/>
                <w:b/>
                <w:color w:val="1F4E79"/>
                <w:sz w:val="19"/>
              </w:rPr>
              <w:t>Core proposition</w:t>
              <w:br/>
            </w:r>
            <w:r>
              <w:rPr>
                <w:rFonts w:ascii="Aptos" w:hAnsi="Aptos"/>
                <w:sz w:val="19"/>
              </w:rPr>
              <w:t>An organisation becomes machine-operable when its important objects, authorities, evidence, decisions, transitions, and evaluation criteria are explicit enough for software and AI systems to act on them without erasing human accountability.</w:t>
            </w:r>
          </w:p>
        </w:tc>
      </w:tr>
    </w:tbl>
    <w:p>
      <w:pPr>
        <w:spacing w:after="0"/>
      </w:pPr>
    </w:p>
    <w:p>
      <w:pPr>
        <w:pStyle w:val="BodyText"/>
      </w:pPr>
      <w:r>
        <w:t>The Organisation Operating System is not a replacement for people, culture, judgement, or institutional legitimacy. It is an operational substrate that makes organisational intent, capability, evidence, and action legible to both humans and machines. Its central engineering objective is to convert opaque organisational activity into governed, inspectable, and testable state transitions.</w:t>
      </w:r>
    </w:p>
    <w:p>
      <w:pPr>
        <w:pStyle w:val="Heading1"/>
        <w:keepNext/>
      </w:pPr>
      <w:r>
        <w:t>1. Introduction</w:t>
      </w:r>
    </w:p>
    <w:p>
      <w:pPr>
        <w:pStyle w:val="BodyText"/>
      </w:pPr>
      <w:r>
        <w:t>Organisations already rely on computation, but most are not computationally represented as organisations. Their software systems store fragments: customer records, tasks, finances, documents, messages, source code, policies, and performance measures. The relationships among these fragments are usually reconstructed by people through meetings, memory, interpretation, and local knowledge. Consequently, the organisation's actual operating model is only partially visible in any single system.</w:t>
      </w:r>
    </w:p>
    <w:p>
      <w:pPr>
        <w:pStyle w:val="BodyText"/>
      </w:pPr>
      <w:r>
        <w:t>Generative AI intensifies this problem. Language models can produce plans, policies, analyses, code, and recommendations at high speed, yet the organisational status of those outputs is often unclear. A model may generate a plausible strategy without knowing whether it is authorised, whether the evidence is current, whether a decision has already been made, whether affected people were consulted, or whether implementation would violate a legal, financial, safety, or ethical constraint.</w:t>
      </w:r>
    </w:p>
    <w:p>
      <w:pPr>
        <w:pStyle w:val="BodyText"/>
      </w:pPr>
      <w:r>
        <w:t>The prevailing interface — a conversational prompt followed by an answer — is insufficient for consequential organisational work. Conversation is useful for exploration, but it does not by itself provide a durable account of authority, evidence, dependencies, decisions, or effects. The same request can be interpreted differently across sessions, models, users, and contexts. Outputs may be copied into documents or systems without preserving the conditions under which they were produced.</w:t>
      </w:r>
    </w:p>
    <w:p>
      <w:pPr>
        <w:pStyle w:val="BodyText"/>
      </w:pPr>
      <w:r>
        <w:t>This paper develops an alternative: a machine-operable Organisation Operating System. The OOS establishes a shared model of organisational objects and lawful transitions. It allows humans and machines to coordinate through explicit contracts and produces records that support audit, evaluation, and learning. The approach combines ideas from software architecture, formal methods, knowledge representation, control theory, organisational design, governance, and empirical social research.</w:t>
      </w:r>
    </w:p>
    <w:p>
      <w:pPr>
        <w:pStyle w:val="Heading2"/>
        <w:keepNext/>
      </w:pPr>
      <w:r>
        <w:t>1.1 Scope</w:t>
      </w:r>
    </w:p>
    <w:p>
      <w:pPr>
        <w:pStyle w:val="BodyText"/>
      </w:pPr>
      <w:r>
        <w:t>The architecture is intended for organisations that use AI and automation in research, operations, governance, programme delivery, product development, or institutional coordination. It can be applied incrementally: an organisation may begin with a small set of objects and workflows, then increase formalisation as evidence accumulates. The architecture does not require every human activity to be encoded, nor does it assume that all valuable organisational knowledge can be formalised.</w:t>
      </w:r>
    </w:p>
    <w:p>
      <w:pPr>
        <w:pStyle w:val="Heading2"/>
        <w:keepNext/>
      </w:pPr>
      <w:r>
        <w:t>1.2 Contributions</w:t>
      </w:r>
    </w:p>
    <w:p>
      <w:pPr>
        <w:pStyle w:val="ListBullet"/>
      </w:pPr>
      <w:r>
        <w:t>A layered reference architecture for a machine-operable organisation.</w:t>
      </w:r>
    </w:p>
    <w:p>
      <w:pPr>
        <w:pStyle w:val="ListBullet"/>
      </w:pPr>
      <w:r>
        <w:t>A core object model covering identity, capability, authority, evidence, work, decisions, and state transitions.</w:t>
      </w:r>
    </w:p>
    <w:p>
      <w:pPr>
        <w:pStyle w:val="ListBullet"/>
      </w:pPr>
      <w:r>
        <w:t>A human-governance model that distinguishes machine capability from machine authority.</w:t>
      </w:r>
    </w:p>
    <w:p>
      <w:pPr>
        <w:pStyle w:val="ListBullet"/>
      </w:pPr>
      <w:r>
        <w:t>An observability model in which every machine action can be recorded as an attributable transition.</w:t>
      </w:r>
    </w:p>
    <w:p>
      <w:pPr>
        <w:pStyle w:val="ListBullet"/>
      </w:pPr>
      <w:r>
        <w:t>A reference implementation pattern suitable for GitHub-based, API-driven, and agent-assisted environments.</w:t>
      </w:r>
    </w:p>
    <w:p>
      <w:pPr>
        <w:pStyle w:val="ListBullet"/>
      </w:pPr>
      <w:r>
        <w:t>An evaluation programme for testing organisational transparency, alignment, resilience, learning, trust, and coherence.</w:t>
      </w:r>
    </w:p>
    <w:p>
      <w:pPr>
        <w:pStyle w:val="Heading1"/>
        <w:keepNext/>
      </w:pPr>
      <w:r>
        <w:t>2. Background</w:t>
      </w:r>
    </w:p>
    <w:p>
      <w:pPr>
        <w:pStyle w:val="Heading2"/>
        <w:keepNext/>
      </w:pPr>
      <w:r>
        <w:t>2.1 From information systems to organisational representations</w:t>
      </w:r>
    </w:p>
    <w:p>
      <w:pPr>
        <w:pStyle w:val="BodyText"/>
      </w:pPr>
      <w:r>
        <w:t>Traditional enterprise systems are usually organised around functions: finance, human resources, customer management, project management, communication, document storage, and analytics. Each system may be internally structured, but the organisation spanning them remains an implicit social construction. Integration commonly means exchanging records, not representing the organisation's shared purposes, authorities, constraints, and capacities.</w:t>
      </w:r>
    </w:p>
    <w:p>
      <w:pPr>
        <w:pStyle w:val="BodyText"/>
      </w:pPr>
      <w:r>
        <w:t>A machine-operable organisation requires a higher-level representation. The system must be able to distinguish an observation from a claim, a proposal from an approved decision, a capability from a permission, a planned action from an executed action, and a metric from the organisational property it is intended to indicate. Without these distinctions, automation can increase speed while reducing institutional clarity.</w:t>
      </w:r>
    </w:p>
    <w:p>
      <w:pPr>
        <w:pStyle w:val="Heading2"/>
        <w:keepNext/>
      </w:pPr>
      <w:r>
        <w:t>2.2 AI agents and the missing organisational layer</w:t>
      </w:r>
    </w:p>
    <w:p>
      <w:pPr>
        <w:pStyle w:val="BodyText"/>
      </w:pPr>
      <w:r>
        <w:t>Agent systems introduce planning, tool use, memory, and autonomous execution. However, giving an agent access to tools does not make its actions organisationally legitimate. Tool permissions answer what an agent can technically do. Organisational governance must also answer what it may do, for whom, under which conditions, using what evidence, with which approvals, and with what obligations after execution.</w:t>
      </w:r>
    </w:p>
    <w:p>
      <w:pPr>
        <w:pStyle w:val="Heading2"/>
        <w:keepNext/>
      </w:pPr>
      <w:r>
        <w:t>2.3 Organisation Science as an engineering programme</w:t>
      </w:r>
    </w:p>
    <w:p>
      <w:pPr>
        <w:pStyle w:val="BodyText"/>
      </w:pPr>
      <w:r>
        <w:t>The proposed OOS is part of a broader Organisation Science programme: the effort to identify representations, laws, and measures that permit organised systems to be described and engineered without collapsing social reality into software abstractions. The programme treats organisational concepts as candidate mathematical and computational objects that must be tested against evidence. It therefore separates three levels: descriptive concepts used to observe organisations, formal definitions used to reason about them, and implemented schemas used to operate software.</w:t>
      </w:r>
    </w:p>
    <w:p>
      <w:pPr>
        <w:pStyle w:val="Heading1"/>
        <w:keepNext/>
      </w:pPr>
      <w:r>
        <w:t>3. Limitations of Current AI in Organisations</w:t>
      </w:r>
    </w:p>
    <w:tbl>
      <w:tblPr>
        <w:tblW w:type="auto" w:w="0"/>
        <w:jc w:val="center"/>
        <w:tblLayout w:type="fixed"/>
        <w:tblLook w:firstColumn="1" w:firstRow="1" w:lastColumn="0" w:lastRow="0" w:noHBand="0" w:noVBand="1" w:val="04A0"/>
      </w:tblPr>
      <w:tblGrid>
        <w:gridCol w:w="2592"/>
        <w:gridCol w:w="6768"/>
      </w:tblGrid>
      <w:tr>
        <w:trPr>
          <w:tblHeader w:val="true"/>
        </w:trPr>
        <w:tc>
          <w:tcPr>
            <w:tcW w:type="dxa" w:w="4896"/>
            <w:shd w:fill="1F4E79"/>
          </w:tcPr>
          <w:p>
            <w:pPr>
              <w:spacing w:after="40"/>
            </w:pPr>
            <w:r>
              <w:rPr>
                <w:rFonts w:ascii="Aptos" w:hAnsi="Aptos"/>
                <w:b/>
                <w:color w:val="FFFFFF"/>
                <w:sz w:val="19"/>
              </w:rPr>
              <w:t>Limitation</w:t>
            </w:r>
          </w:p>
        </w:tc>
        <w:tc>
          <w:tcPr>
            <w:tcW w:type="dxa" w:w="4896"/>
            <w:shd w:fill="1F4E79"/>
          </w:tcPr>
          <w:p>
            <w:pPr>
              <w:spacing w:after="40"/>
            </w:pPr>
            <w:r>
              <w:rPr>
                <w:rFonts w:ascii="Aptos" w:hAnsi="Aptos"/>
                <w:b/>
                <w:color w:val="FFFFFF"/>
                <w:sz w:val="19"/>
              </w:rPr>
              <w:t>Organisational consequence</w:t>
            </w:r>
          </w:p>
        </w:tc>
      </w:tr>
      <w:tr>
        <w:tc>
          <w:tcPr>
            <w:tcW w:type="dxa" w:w="2592"/>
            <w:tcMar>
              <w:top w:w="100" w:type="dxa"/>
              <w:start w:w="120" w:type="dxa"/>
              <w:bottom w:w="100" w:type="dxa"/>
              <w:end w:w="120" w:type="dxa"/>
            </w:tcMar>
            <w:vAlign w:val="center"/>
          </w:tcPr>
          <w:p>
            <w:pPr>
              <w:spacing w:after="40"/>
            </w:pPr>
            <w:r>
              <w:rPr>
                <w:rFonts w:ascii="Aptos" w:hAnsi="Aptos"/>
                <w:sz w:val="19"/>
              </w:rPr>
              <w:t>Context fragmentation</w:t>
            </w:r>
          </w:p>
        </w:tc>
        <w:tc>
          <w:tcPr>
            <w:tcW w:type="dxa" w:w="6768"/>
            <w:tcMar>
              <w:top w:w="100" w:type="dxa"/>
              <w:start w:w="120" w:type="dxa"/>
              <w:bottom w:w="100" w:type="dxa"/>
              <w:end w:w="120" w:type="dxa"/>
            </w:tcMar>
            <w:vAlign w:val="center"/>
          </w:tcPr>
          <w:p>
            <w:pPr>
              <w:spacing w:after="40"/>
            </w:pPr>
            <w:r>
              <w:rPr>
                <w:rFonts w:ascii="Aptos" w:hAnsi="Aptos"/>
                <w:sz w:val="19"/>
              </w:rPr>
              <w:t>Relevant context is distributed across messages, documents, repositories, databases, people, and external systems. Models often receive only a partial snapshot.</w:t>
            </w:r>
          </w:p>
        </w:tc>
      </w:tr>
      <w:tr>
        <w:tc>
          <w:tcPr>
            <w:tcW w:type="dxa" w:w="2592"/>
            <w:tcMar>
              <w:top w:w="100" w:type="dxa"/>
              <w:start w:w="120" w:type="dxa"/>
              <w:bottom w:w="100" w:type="dxa"/>
              <w:end w:w="120" w:type="dxa"/>
            </w:tcMar>
            <w:vAlign w:val="center"/>
          </w:tcPr>
          <w:p>
            <w:pPr>
              <w:spacing w:after="40"/>
            </w:pPr>
            <w:r>
              <w:rPr>
                <w:rFonts w:ascii="Aptos" w:hAnsi="Aptos"/>
                <w:sz w:val="19"/>
              </w:rPr>
              <w:t>Authority ambiguity</w:t>
            </w:r>
          </w:p>
        </w:tc>
        <w:tc>
          <w:tcPr>
            <w:tcW w:type="dxa" w:w="6768"/>
            <w:tcMar>
              <w:top w:w="100" w:type="dxa"/>
              <w:start w:w="120" w:type="dxa"/>
              <w:bottom w:w="100" w:type="dxa"/>
              <w:end w:w="120" w:type="dxa"/>
            </w:tcMar>
            <w:vAlign w:val="center"/>
          </w:tcPr>
          <w:p>
            <w:pPr>
              <w:spacing w:after="40"/>
            </w:pPr>
            <w:r>
              <w:rPr>
                <w:rFonts w:ascii="Aptos" w:hAnsi="Aptos"/>
                <w:sz w:val="19"/>
              </w:rPr>
              <w:t>A model may be able to produce or execute an action without a clear representation of delegated authority or accountable human ownership.</w:t>
            </w:r>
          </w:p>
        </w:tc>
      </w:tr>
      <w:tr>
        <w:tc>
          <w:tcPr>
            <w:tcW w:type="dxa" w:w="2592"/>
            <w:tcMar>
              <w:top w:w="100" w:type="dxa"/>
              <w:start w:w="120" w:type="dxa"/>
              <w:bottom w:w="100" w:type="dxa"/>
              <w:end w:w="120" w:type="dxa"/>
            </w:tcMar>
            <w:vAlign w:val="center"/>
          </w:tcPr>
          <w:p>
            <w:pPr>
              <w:spacing w:after="40"/>
            </w:pPr>
            <w:r>
              <w:rPr>
                <w:rFonts w:ascii="Aptos" w:hAnsi="Aptos"/>
                <w:sz w:val="19"/>
              </w:rPr>
              <w:t>Evidence detachment</w:t>
            </w:r>
          </w:p>
        </w:tc>
        <w:tc>
          <w:tcPr>
            <w:tcW w:type="dxa" w:w="6768"/>
            <w:tcMar>
              <w:top w:w="100" w:type="dxa"/>
              <w:start w:w="120" w:type="dxa"/>
              <w:bottom w:w="100" w:type="dxa"/>
              <w:end w:w="120" w:type="dxa"/>
            </w:tcMar>
            <w:vAlign w:val="center"/>
          </w:tcPr>
          <w:p>
            <w:pPr>
              <w:spacing w:after="40"/>
            </w:pPr>
            <w:r>
              <w:rPr>
                <w:rFonts w:ascii="Aptos" w:hAnsi="Aptos"/>
                <w:sz w:val="19"/>
              </w:rPr>
              <w:t>Outputs frequently omit durable links between claims, source evidence, transformations, and final recommendations.</w:t>
            </w:r>
          </w:p>
        </w:tc>
      </w:tr>
      <w:tr>
        <w:tc>
          <w:tcPr>
            <w:tcW w:type="dxa" w:w="2592"/>
            <w:tcMar>
              <w:top w:w="100" w:type="dxa"/>
              <w:start w:w="120" w:type="dxa"/>
              <w:bottom w:w="100" w:type="dxa"/>
              <w:end w:w="120" w:type="dxa"/>
            </w:tcMar>
            <w:vAlign w:val="center"/>
          </w:tcPr>
          <w:p>
            <w:pPr>
              <w:spacing w:after="40"/>
            </w:pPr>
            <w:r>
              <w:rPr>
                <w:rFonts w:ascii="Aptos" w:hAnsi="Aptos"/>
                <w:sz w:val="19"/>
              </w:rPr>
              <w:t>State opacity</w:t>
            </w:r>
          </w:p>
        </w:tc>
        <w:tc>
          <w:tcPr>
            <w:tcW w:type="dxa" w:w="6768"/>
            <w:tcMar>
              <w:top w:w="100" w:type="dxa"/>
              <w:start w:w="120" w:type="dxa"/>
              <w:bottom w:w="100" w:type="dxa"/>
              <w:end w:w="120" w:type="dxa"/>
            </w:tcMar>
            <w:vAlign w:val="center"/>
          </w:tcPr>
          <w:p>
            <w:pPr>
              <w:spacing w:after="40"/>
            </w:pPr>
            <w:r>
              <w:rPr>
                <w:rFonts w:ascii="Aptos" w:hAnsi="Aptos"/>
                <w:sz w:val="19"/>
              </w:rPr>
              <w:t>Organisations often cannot determine what changed, why it changed, which machine acted, or whether the resulting state is valid.</w:t>
            </w:r>
          </w:p>
        </w:tc>
      </w:tr>
      <w:tr>
        <w:tc>
          <w:tcPr>
            <w:tcW w:type="dxa" w:w="2592"/>
            <w:tcMar>
              <w:top w:w="100" w:type="dxa"/>
              <w:start w:w="120" w:type="dxa"/>
              <w:bottom w:w="100" w:type="dxa"/>
              <w:end w:w="120" w:type="dxa"/>
            </w:tcMar>
            <w:vAlign w:val="center"/>
          </w:tcPr>
          <w:p>
            <w:pPr>
              <w:spacing w:after="40"/>
            </w:pPr>
            <w:r>
              <w:rPr>
                <w:rFonts w:ascii="Aptos" w:hAnsi="Aptos"/>
                <w:sz w:val="19"/>
              </w:rPr>
              <w:t>Prompt dependence</w:t>
            </w:r>
          </w:p>
        </w:tc>
        <w:tc>
          <w:tcPr>
            <w:tcW w:type="dxa" w:w="6768"/>
            <w:tcMar>
              <w:top w:w="100" w:type="dxa"/>
              <w:start w:w="120" w:type="dxa"/>
              <w:bottom w:w="100" w:type="dxa"/>
              <w:end w:w="120" w:type="dxa"/>
            </w:tcMar>
            <w:vAlign w:val="center"/>
          </w:tcPr>
          <w:p>
            <w:pPr>
              <w:spacing w:after="40"/>
            </w:pPr>
            <w:r>
              <w:rPr>
                <w:rFonts w:ascii="Aptos" w:hAnsi="Aptos"/>
                <w:sz w:val="19"/>
              </w:rPr>
              <w:t>Small variations in wording, context order, or omitted assumptions can produce materially different results.</w:t>
            </w:r>
          </w:p>
        </w:tc>
      </w:tr>
      <w:tr>
        <w:tc>
          <w:tcPr>
            <w:tcW w:type="dxa" w:w="2592"/>
            <w:tcMar>
              <w:top w:w="100" w:type="dxa"/>
              <w:start w:w="120" w:type="dxa"/>
              <w:bottom w:w="100" w:type="dxa"/>
              <w:end w:w="120" w:type="dxa"/>
            </w:tcMar>
            <w:vAlign w:val="center"/>
          </w:tcPr>
          <w:p>
            <w:pPr>
              <w:spacing w:after="40"/>
            </w:pPr>
            <w:r>
              <w:rPr>
                <w:rFonts w:ascii="Aptos" w:hAnsi="Aptos"/>
                <w:sz w:val="19"/>
              </w:rPr>
              <w:t>Evaluation weakness</w:t>
            </w:r>
          </w:p>
        </w:tc>
        <w:tc>
          <w:tcPr>
            <w:tcW w:type="dxa" w:w="6768"/>
            <w:tcMar>
              <w:top w:w="100" w:type="dxa"/>
              <w:start w:w="120" w:type="dxa"/>
              <w:bottom w:w="100" w:type="dxa"/>
              <w:end w:w="120" w:type="dxa"/>
            </w:tcMar>
            <w:vAlign w:val="center"/>
          </w:tcPr>
          <w:p>
            <w:pPr>
              <w:spacing w:after="40"/>
            </w:pPr>
            <w:r>
              <w:rPr>
                <w:rFonts w:ascii="Aptos" w:hAnsi="Aptos"/>
                <w:sz w:val="19"/>
              </w:rPr>
              <w:t>Organisations often measure task completion or user satisfaction but not governance compliance, coherence, uncertainty, resilience, or learning.</w:t>
            </w:r>
          </w:p>
        </w:tc>
      </w:tr>
      <w:tr>
        <w:tc>
          <w:tcPr>
            <w:tcW w:type="dxa" w:w="2592"/>
            <w:tcMar>
              <w:top w:w="100" w:type="dxa"/>
              <w:start w:w="120" w:type="dxa"/>
              <w:bottom w:w="100" w:type="dxa"/>
              <w:end w:w="120" w:type="dxa"/>
            </w:tcMar>
            <w:vAlign w:val="center"/>
          </w:tcPr>
          <w:p>
            <w:pPr>
              <w:spacing w:after="40"/>
            </w:pPr>
            <w:r>
              <w:rPr>
                <w:rFonts w:ascii="Aptos" w:hAnsi="Aptos"/>
                <w:sz w:val="19"/>
              </w:rPr>
              <w:t>Memory without institutional status</w:t>
            </w:r>
          </w:p>
        </w:tc>
        <w:tc>
          <w:tcPr>
            <w:tcW w:type="dxa" w:w="6768"/>
            <w:tcMar>
              <w:top w:w="100" w:type="dxa"/>
              <w:start w:w="120" w:type="dxa"/>
              <w:bottom w:w="100" w:type="dxa"/>
              <w:end w:w="120" w:type="dxa"/>
            </w:tcMar>
            <w:vAlign w:val="center"/>
          </w:tcPr>
          <w:p>
            <w:pPr>
              <w:spacing w:after="40"/>
            </w:pPr>
            <w:r>
              <w:rPr>
                <w:rFonts w:ascii="Aptos" w:hAnsi="Aptos"/>
                <w:sz w:val="19"/>
              </w:rPr>
              <w:t>AI memory can retain facts or preferences, but does not automatically distinguish authoritative policy from tentative discussion or superseded decisions.</w:t>
            </w:r>
          </w:p>
        </w:tc>
      </w:tr>
      <w:tr>
        <w:tc>
          <w:tcPr>
            <w:tcW w:type="dxa" w:w="2592"/>
            <w:tcMar>
              <w:top w:w="100" w:type="dxa"/>
              <w:start w:w="120" w:type="dxa"/>
              <w:bottom w:w="100" w:type="dxa"/>
              <w:end w:w="120" w:type="dxa"/>
            </w:tcMar>
            <w:vAlign w:val="center"/>
          </w:tcPr>
          <w:p>
            <w:pPr>
              <w:spacing w:after="40"/>
            </w:pPr>
            <w:r>
              <w:rPr>
                <w:rFonts w:ascii="Aptos" w:hAnsi="Aptos"/>
                <w:sz w:val="19"/>
              </w:rPr>
              <w:t>Automation without constitutional boundaries</w:t>
            </w:r>
          </w:p>
        </w:tc>
        <w:tc>
          <w:tcPr>
            <w:tcW w:type="dxa" w:w="6768"/>
            <w:tcMar>
              <w:top w:w="100" w:type="dxa"/>
              <w:start w:w="120" w:type="dxa"/>
              <w:bottom w:w="100" w:type="dxa"/>
              <w:end w:w="120" w:type="dxa"/>
            </w:tcMar>
            <w:vAlign w:val="center"/>
          </w:tcPr>
          <w:p>
            <w:pPr>
              <w:spacing w:after="40"/>
            </w:pPr>
            <w:r>
              <w:rPr>
                <w:rFonts w:ascii="Aptos" w:hAnsi="Aptos"/>
                <w:sz w:val="19"/>
              </w:rPr>
              <w:t>Technical permissions are commonly broader than legitimate organisational authority.</w:t>
            </w:r>
          </w:p>
        </w:tc>
      </w:tr>
    </w:tbl>
    <w:p/>
    <w:p>
      <w:pPr>
        <w:pStyle w:val="BodyText"/>
      </w:pPr>
      <w:r>
        <w:t>These limitations are not failures of language models alone. They arise because organisations have not provided models with a sufficiently explicit operating environment. The OOS therefore shifts part of the alignment problem from the model layer to the organisational architecture layer.</w:t>
      </w:r>
    </w:p>
    <w:p>
      <w:pPr>
        <w:pStyle w:val="Heading1"/>
        <w:keepNext/>
      </w:pPr>
      <w:r>
        <w:t>4. Design Principles</w:t>
      </w:r>
    </w:p>
    <w:p>
      <w:pPr>
        <w:pStyle w:val="BodyText"/>
        <w:ind w:left="216" w:hanging="216"/>
      </w:pPr>
      <w:r>
        <w:rPr>
          <w:b/>
          <w:color w:val="2F75B5"/>
        </w:rPr>
        <w:t xml:space="preserve">1. Practice first. </w:t>
      </w:r>
      <w:r>
        <w:t>Formalisation begins from observed work, existing artefacts, and actual constraints rather than an imposed abstract model.</w:t>
      </w:r>
    </w:p>
    <w:p>
      <w:pPr>
        <w:pStyle w:val="BodyText"/>
        <w:ind w:left="216" w:hanging="216"/>
      </w:pPr>
      <w:r>
        <w:rPr>
          <w:b/>
          <w:color w:val="2F75B5"/>
        </w:rPr>
        <w:t xml:space="preserve">2. Human accountability. </w:t>
      </w:r>
      <w:r>
        <w:t>Every consequential machine action has an accountable human role, even when execution is automated.</w:t>
      </w:r>
    </w:p>
    <w:p>
      <w:pPr>
        <w:pStyle w:val="BodyText"/>
        <w:ind w:left="216" w:hanging="216"/>
      </w:pPr>
      <w:r>
        <w:rPr>
          <w:b/>
          <w:color w:val="2F75B5"/>
        </w:rPr>
        <w:t xml:space="preserve">3. Machine capability is not machine authority. </w:t>
      </w:r>
      <w:r>
        <w:t>A system may be technically capable of an action while remaining prohibited from performing it.</w:t>
      </w:r>
    </w:p>
    <w:p>
      <w:pPr>
        <w:pStyle w:val="BodyText"/>
        <w:ind w:left="216" w:hanging="216"/>
      </w:pPr>
      <w:r>
        <w:rPr>
          <w:b/>
          <w:color w:val="2F75B5"/>
        </w:rPr>
        <w:t xml:space="preserve">4. Evidence before assertion. </w:t>
      </w:r>
      <w:r>
        <w:t>Claims, recommendations, and transitions should identify the evidence on which they depend and the uncertainty that remains.</w:t>
      </w:r>
    </w:p>
    <w:p>
      <w:pPr>
        <w:pStyle w:val="BodyText"/>
        <w:ind w:left="216" w:hanging="216"/>
      </w:pPr>
      <w:r>
        <w:rPr>
          <w:b/>
          <w:color w:val="2F75B5"/>
        </w:rPr>
        <w:t xml:space="preserve">5. Typed organisational objects. </w:t>
      </w:r>
      <w:r>
        <w:t>Important organisational distinctions are represented explicitly rather than inferred repeatedly from prose.</w:t>
      </w:r>
    </w:p>
    <w:p>
      <w:pPr>
        <w:pStyle w:val="BodyText"/>
        <w:ind w:left="216" w:hanging="216"/>
      </w:pPr>
      <w:r>
        <w:rPr>
          <w:b/>
          <w:color w:val="2F75B5"/>
        </w:rPr>
        <w:t xml:space="preserve">6. Lawful state transitions. </w:t>
      </w:r>
      <w:r>
        <w:t>Changes to organisational state must satisfy declared preconditions, constraints, approvals, and postconditions.</w:t>
      </w:r>
    </w:p>
    <w:p>
      <w:pPr>
        <w:pStyle w:val="BodyText"/>
        <w:ind w:left="216" w:hanging="216"/>
      </w:pPr>
      <w:r>
        <w:rPr>
          <w:b/>
          <w:color w:val="2F75B5"/>
        </w:rPr>
        <w:t xml:space="preserve">7. Observability by default. </w:t>
      </w:r>
      <w:r>
        <w:t>Machine actions produce durable, attributable records suitable for inspection and evaluation.</w:t>
      </w:r>
    </w:p>
    <w:p>
      <w:pPr>
        <w:pStyle w:val="BodyText"/>
        <w:ind w:left="216" w:hanging="216"/>
      </w:pPr>
      <w:r>
        <w:rPr>
          <w:b/>
          <w:color w:val="2F75B5"/>
        </w:rPr>
        <w:t xml:space="preserve">8. Progressive formalisation. </w:t>
      </w:r>
      <w:r>
        <w:t>The system can begin with partial schemas and become more precise as the organisation learns.</w:t>
      </w:r>
    </w:p>
    <w:p>
      <w:pPr>
        <w:pStyle w:val="BodyText"/>
        <w:ind w:left="216" w:hanging="216"/>
      </w:pPr>
      <w:r>
        <w:rPr>
          <w:b/>
          <w:color w:val="2F75B5"/>
        </w:rPr>
        <w:t xml:space="preserve">9. Reversible automation. </w:t>
      </w:r>
      <w:r>
        <w:t>Where feasible, automated actions should be staged, reviewable, and reversible before irreversible effects occur.</w:t>
      </w:r>
    </w:p>
    <w:p>
      <w:pPr>
        <w:pStyle w:val="BodyText"/>
        <w:ind w:left="216" w:hanging="216"/>
      </w:pPr>
      <w:r>
        <w:rPr>
          <w:b/>
          <w:color w:val="2F75B5"/>
        </w:rPr>
        <w:t xml:space="preserve">10. Plural evidence and contestability. </w:t>
      </w:r>
      <w:r>
        <w:t>The system must permit disagreement, competing interpretations, and challenges to claims or decisions.</w:t>
      </w:r>
    </w:p>
    <w:p>
      <w:pPr>
        <w:pStyle w:val="BodyText"/>
        <w:ind w:left="216" w:hanging="216"/>
      </w:pPr>
      <w:r>
        <w:rPr>
          <w:b/>
          <w:color w:val="2F75B5"/>
        </w:rPr>
        <w:t xml:space="preserve">11. Interoperability. </w:t>
      </w:r>
      <w:r>
        <w:t>Objects and contracts should be portable across repositories, tools, models, and organisational boundaries.</w:t>
      </w:r>
    </w:p>
    <w:p>
      <w:pPr>
        <w:pStyle w:val="BodyText"/>
        <w:ind w:left="216" w:hanging="216"/>
      </w:pPr>
      <w:r>
        <w:rPr>
          <w:b/>
          <w:color w:val="2F75B5"/>
        </w:rPr>
        <w:t xml:space="preserve">12. Empirical humility. </w:t>
      </w:r>
      <w:r>
        <w:t>The architecture is a testable reference implementation, not a claim that organisational reality is fully captured by the model.</w:t>
      </w:r>
    </w:p>
    <w:p>
      <w:pPr>
        <w:pStyle w:val="Heading1"/>
        <w:keepNext/>
      </w:pPr>
      <w:r>
        <w:t>5. Machine-Operable Organisation Model</w:t>
      </w:r>
    </w:p>
    <w:p>
      <w:pPr>
        <w:pStyle w:val="BodyText"/>
      </w:pPr>
      <w:r>
        <w:t>The core model represents the organisation as a set of typed objects connected by relations and changed through transitions. At time t, an organisational state can be described conceptually as a structured collection of entities, relations, capabilities, goals, constraints, evidence, authorities, work commitments, decisions, and historical records. The implementation need not force these into a single database; it must preserve their identities and relationships across systems.</w:t>
      </w:r>
    </w:p>
    <w:p>
      <w:pPr>
        <w:pStyle w:val="Heading2"/>
        <w:keepNext/>
      </w:pPr>
      <w:r>
        <w:t>5.1 Core object classes</w:t>
      </w:r>
    </w:p>
    <w:tbl>
      <w:tblPr>
        <w:tblW w:type="auto" w:w="0"/>
        <w:jc w:val="center"/>
        <w:tblLayout w:type="fixed"/>
        <w:tblLook w:firstColumn="1" w:firstRow="1" w:lastColumn="0" w:lastRow="0" w:noHBand="0" w:noVBand="1" w:val="04A0"/>
      </w:tblPr>
      <w:tblGrid>
        <w:gridCol w:w="2448"/>
        <w:gridCol w:w="6912"/>
      </w:tblGrid>
      <w:tr>
        <w:trPr>
          <w:tblHeader w:val="true"/>
        </w:trPr>
        <w:tc>
          <w:tcPr>
            <w:tcW w:type="dxa" w:w="4896"/>
            <w:shd w:fill="2F75B5"/>
          </w:tcPr>
          <w:p>
            <w:pPr>
              <w:spacing w:after="40"/>
            </w:pPr>
            <w:r>
              <w:rPr>
                <w:rFonts w:ascii="Aptos" w:hAnsi="Aptos"/>
                <w:b/>
                <w:color w:val="FFFFFF"/>
                <w:sz w:val="19"/>
              </w:rPr>
              <w:t>Object</w:t>
            </w:r>
          </w:p>
        </w:tc>
        <w:tc>
          <w:tcPr>
            <w:tcW w:type="dxa" w:w="4896"/>
            <w:shd w:fill="2F75B5"/>
          </w:tcPr>
          <w:p>
            <w:pPr>
              <w:spacing w:after="40"/>
            </w:pPr>
            <w:r>
              <w:rPr>
                <w:rFonts w:ascii="Aptos" w:hAnsi="Aptos"/>
                <w:b/>
                <w:color w:val="FFFFFF"/>
                <w:sz w:val="19"/>
              </w:rPr>
              <w:t>Operational meaning</w:t>
            </w:r>
          </w:p>
        </w:tc>
      </w:tr>
      <w:tr>
        <w:tc>
          <w:tcPr>
            <w:tcW w:type="dxa" w:w="2448"/>
            <w:tcMar>
              <w:top w:w="100" w:type="dxa"/>
              <w:start w:w="120" w:type="dxa"/>
              <w:bottom w:w="100" w:type="dxa"/>
              <w:end w:w="120" w:type="dxa"/>
            </w:tcMar>
            <w:vAlign w:val="center"/>
          </w:tcPr>
          <w:p>
            <w:pPr>
              <w:spacing w:after="40"/>
            </w:pPr>
            <w:r>
              <w:rPr>
                <w:rFonts w:ascii="Aptos" w:hAnsi="Aptos"/>
                <w:sz w:val="19"/>
              </w:rPr>
              <w:t>Organisation Object</w:t>
            </w:r>
          </w:p>
        </w:tc>
        <w:tc>
          <w:tcPr>
            <w:tcW w:type="dxa" w:w="6912"/>
            <w:tcMar>
              <w:top w:w="100" w:type="dxa"/>
              <w:start w:w="120" w:type="dxa"/>
              <w:bottom w:w="100" w:type="dxa"/>
              <w:end w:w="120" w:type="dxa"/>
            </w:tcMar>
            <w:vAlign w:val="center"/>
          </w:tcPr>
          <w:p>
            <w:pPr>
              <w:spacing w:after="40"/>
            </w:pPr>
            <w:r>
              <w:rPr>
                <w:rFonts w:ascii="Aptos" w:hAnsi="Aptos"/>
                <w:sz w:val="19"/>
              </w:rPr>
              <w:t>A stable identifier for anything the organisation needs to reason about: person, team, programme, policy, capability, repository, dataset, decision, risk, or external institution.</w:t>
            </w:r>
          </w:p>
        </w:tc>
      </w:tr>
      <w:tr>
        <w:tc>
          <w:tcPr>
            <w:tcW w:type="dxa" w:w="2448"/>
            <w:tcMar>
              <w:top w:w="100" w:type="dxa"/>
              <w:start w:w="120" w:type="dxa"/>
              <w:bottom w:w="100" w:type="dxa"/>
              <w:end w:w="120" w:type="dxa"/>
            </w:tcMar>
            <w:vAlign w:val="center"/>
          </w:tcPr>
          <w:p>
            <w:pPr>
              <w:spacing w:after="40"/>
            </w:pPr>
            <w:r>
              <w:rPr>
                <w:rFonts w:ascii="Aptos" w:hAnsi="Aptos"/>
                <w:sz w:val="19"/>
              </w:rPr>
              <w:t>Entity</w:t>
            </w:r>
          </w:p>
        </w:tc>
        <w:tc>
          <w:tcPr>
            <w:tcW w:type="dxa" w:w="6912"/>
            <w:tcMar>
              <w:top w:w="100" w:type="dxa"/>
              <w:start w:w="120" w:type="dxa"/>
              <w:bottom w:w="100" w:type="dxa"/>
              <w:end w:w="120" w:type="dxa"/>
            </w:tcMar>
            <w:vAlign w:val="center"/>
          </w:tcPr>
          <w:p>
            <w:pPr>
              <w:spacing w:after="40"/>
            </w:pPr>
            <w:r>
              <w:rPr>
                <w:rFonts w:ascii="Aptos" w:hAnsi="Aptos"/>
                <w:sz w:val="19"/>
              </w:rPr>
              <w:t>An actor or resource capable of bearing properties or participating in relations.</w:t>
            </w:r>
          </w:p>
        </w:tc>
      </w:tr>
      <w:tr>
        <w:tc>
          <w:tcPr>
            <w:tcW w:type="dxa" w:w="2448"/>
            <w:tcMar>
              <w:top w:w="100" w:type="dxa"/>
              <w:start w:w="120" w:type="dxa"/>
              <w:bottom w:w="100" w:type="dxa"/>
              <w:end w:w="120" w:type="dxa"/>
            </w:tcMar>
            <w:vAlign w:val="center"/>
          </w:tcPr>
          <w:p>
            <w:pPr>
              <w:spacing w:after="40"/>
            </w:pPr>
            <w:r>
              <w:rPr>
                <w:rFonts w:ascii="Aptos" w:hAnsi="Aptos"/>
                <w:sz w:val="19"/>
              </w:rPr>
              <w:t>Relation</w:t>
            </w:r>
          </w:p>
        </w:tc>
        <w:tc>
          <w:tcPr>
            <w:tcW w:type="dxa" w:w="6912"/>
            <w:tcMar>
              <w:top w:w="100" w:type="dxa"/>
              <w:start w:w="120" w:type="dxa"/>
              <w:bottom w:w="100" w:type="dxa"/>
              <w:end w:w="120" w:type="dxa"/>
            </w:tcMar>
            <w:vAlign w:val="center"/>
          </w:tcPr>
          <w:p>
            <w:pPr>
              <w:spacing w:after="40"/>
            </w:pPr>
            <w:r>
              <w:rPr>
                <w:rFonts w:ascii="Aptos" w:hAnsi="Aptos"/>
                <w:sz w:val="19"/>
              </w:rPr>
              <w:t>A typed connection such as owns, governs, depends on, contributes to, contradicts, supersedes, or is accountable for.</w:t>
            </w:r>
          </w:p>
        </w:tc>
      </w:tr>
      <w:tr>
        <w:tc>
          <w:tcPr>
            <w:tcW w:type="dxa" w:w="2448"/>
            <w:tcMar>
              <w:top w:w="100" w:type="dxa"/>
              <w:start w:w="120" w:type="dxa"/>
              <w:bottom w:w="100" w:type="dxa"/>
              <w:end w:w="120" w:type="dxa"/>
            </w:tcMar>
            <w:vAlign w:val="center"/>
          </w:tcPr>
          <w:p>
            <w:pPr>
              <w:spacing w:after="40"/>
            </w:pPr>
            <w:r>
              <w:rPr>
                <w:rFonts w:ascii="Aptos" w:hAnsi="Aptos"/>
                <w:sz w:val="19"/>
              </w:rPr>
              <w:t>Capability</w:t>
            </w:r>
          </w:p>
        </w:tc>
        <w:tc>
          <w:tcPr>
            <w:tcW w:type="dxa" w:w="6912"/>
            <w:tcMar>
              <w:top w:w="100" w:type="dxa"/>
              <w:start w:w="120" w:type="dxa"/>
              <w:bottom w:w="100" w:type="dxa"/>
              <w:end w:w="120" w:type="dxa"/>
            </w:tcMar>
            <w:vAlign w:val="center"/>
          </w:tcPr>
          <w:p>
            <w:pPr>
              <w:spacing w:after="40"/>
            </w:pPr>
            <w:r>
              <w:rPr>
                <w:rFonts w:ascii="Aptos" w:hAnsi="Aptos"/>
                <w:sz w:val="19"/>
              </w:rPr>
              <w:t>A conditional ability of an entity or organised system to produce a class of outcomes under specified conditions.</w:t>
            </w:r>
          </w:p>
        </w:tc>
      </w:tr>
      <w:tr>
        <w:tc>
          <w:tcPr>
            <w:tcW w:type="dxa" w:w="2448"/>
            <w:tcMar>
              <w:top w:w="100" w:type="dxa"/>
              <w:start w:w="120" w:type="dxa"/>
              <w:bottom w:w="100" w:type="dxa"/>
              <w:end w:w="120" w:type="dxa"/>
            </w:tcMar>
            <w:vAlign w:val="center"/>
          </w:tcPr>
          <w:p>
            <w:pPr>
              <w:spacing w:after="40"/>
            </w:pPr>
            <w:r>
              <w:rPr>
                <w:rFonts w:ascii="Aptos" w:hAnsi="Aptos"/>
                <w:sz w:val="19"/>
              </w:rPr>
              <w:t>Goal</w:t>
            </w:r>
          </w:p>
        </w:tc>
        <w:tc>
          <w:tcPr>
            <w:tcW w:type="dxa" w:w="6912"/>
            <w:tcMar>
              <w:top w:w="100" w:type="dxa"/>
              <w:start w:w="120" w:type="dxa"/>
              <w:bottom w:w="100" w:type="dxa"/>
              <w:end w:w="120" w:type="dxa"/>
            </w:tcMar>
            <w:vAlign w:val="center"/>
          </w:tcPr>
          <w:p>
            <w:pPr>
              <w:spacing w:after="40"/>
            </w:pPr>
            <w:r>
              <w:rPr>
                <w:rFonts w:ascii="Aptos" w:hAnsi="Aptos"/>
                <w:sz w:val="19"/>
              </w:rPr>
              <w:t>A desired region of organisational state, including target conditions and evaluation criteria.</w:t>
            </w:r>
          </w:p>
        </w:tc>
      </w:tr>
      <w:tr>
        <w:tc>
          <w:tcPr>
            <w:tcW w:type="dxa" w:w="2448"/>
            <w:tcMar>
              <w:top w:w="100" w:type="dxa"/>
              <w:start w:w="120" w:type="dxa"/>
              <w:bottom w:w="100" w:type="dxa"/>
              <w:end w:w="120" w:type="dxa"/>
            </w:tcMar>
            <w:vAlign w:val="center"/>
          </w:tcPr>
          <w:p>
            <w:pPr>
              <w:spacing w:after="40"/>
            </w:pPr>
            <w:r>
              <w:rPr>
                <w:rFonts w:ascii="Aptos" w:hAnsi="Aptos"/>
                <w:sz w:val="19"/>
              </w:rPr>
              <w:t>Constraint</w:t>
            </w:r>
          </w:p>
        </w:tc>
        <w:tc>
          <w:tcPr>
            <w:tcW w:type="dxa" w:w="6912"/>
            <w:tcMar>
              <w:top w:w="100" w:type="dxa"/>
              <w:start w:w="120" w:type="dxa"/>
              <w:bottom w:w="100" w:type="dxa"/>
              <w:end w:w="120" w:type="dxa"/>
            </w:tcMar>
            <w:vAlign w:val="center"/>
          </w:tcPr>
          <w:p>
            <w:pPr>
              <w:spacing w:after="40"/>
            </w:pPr>
            <w:r>
              <w:rPr>
                <w:rFonts w:ascii="Aptos" w:hAnsi="Aptos"/>
                <w:sz w:val="19"/>
              </w:rPr>
              <w:t>A condition that restricts valid actions or states, including legal, ethical, financial, technical, temporal, and governance constraints.</w:t>
            </w:r>
          </w:p>
        </w:tc>
      </w:tr>
      <w:tr>
        <w:tc>
          <w:tcPr>
            <w:tcW w:type="dxa" w:w="2448"/>
            <w:tcMar>
              <w:top w:w="100" w:type="dxa"/>
              <w:start w:w="120" w:type="dxa"/>
              <w:bottom w:w="100" w:type="dxa"/>
              <w:end w:w="120" w:type="dxa"/>
            </w:tcMar>
            <w:vAlign w:val="center"/>
          </w:tcPr>
          <w:p>
            <w:pPr>
              <w:spacing w:after="40"/>
            </w:pPr>
            <w:r>
              <w:rPr>
                <w:rFonts w:ascii="Aptos" w:hAnsi="Aptos"/>
                <w:sz w:val="19"/>
              </w:rPr>
              <w:t>Evidence Object</w:t>
            </w:r>
          </w:p>
        </w:tc>
        <w:tc>
          <w:tcPr>
            <w:tcW w:type="dxa" w:w="6912"/>
            <w:tcMar>
              <w:top w:w="100" w:type="dxa"/>
              <w:start w:w="120" w:type="dxa"/>
              <w:bottom w:w="100" w:type="dxa"/>
              <w:end w:w="120" w:type="dxa"/>
            </w:tcMar>
            <w:vAlign w:val="center"/>
          </w:tcPr>
          <w:p>
            <w:pPr>
              <w:spacing w:after="40"/>
            </w:pPr>
            <w:r>
              <w:rPr>
                <w:rFonts w:ascii="Aptos" w:hAnsi="Aptos"/>
                <w:sz w:val="19"/>
              </w:rPr>
              <w:t>An observation, source, dataset, artefact, testimony, measurement, or derived finding with provenance and status.</w:t>
            </w:r>
          </w:p>
        </w:tc>
      </w:tr>
      <w:tr>
        <w:tc>
          <w:tcPr>
            <w:tcW w:type="dxa" w:w="2448"/>
            <w:tcMar>
              <w:top w:w="100" w:type="dxa"/>
              <w:start w:w="120" w:type="dxa"/>
              <w:bottom w:w="100" w:type="dxa"/>
              <w:end w:w="120" w:type="dxa"/>
            </w:tcMar>
            <w:vAlign w:val="center"/>
          </w:tcPr>
          <w:p>
            <w:pPr>
              <w:spacing w:after="40"/>
            </w:pPr>
            <w:r>
              <w:rPr>
                <w:rFonts w:ascii="Aptos" w:hAnsi="Aptos"/>
                <w:sz w:val="19"/>
              </w:rPr>
              <w:t>Claim</w:t>
            </w:r>
          </w:p>
        </w:tc>
        <w:tc>
          <w:tcPr>
            <w:tcW w:type="dxa" w:w="6912"/>
            <w:tcMar>
              <w:top w:w="100" w:type="dxa"/>
              <w:start w:w="120" w:type="dxa"/>
              <w:bottom w:w="100" w:type="dxa"/>
              <w:end w:w="120" w:type="dxa"/>
            </w:tcMar>
            <w:vAlign w:val="center"/>
          </w:tcPr>
          <w:p>
            <w:pPr>
              <w:spacing w:after="40"/>
            </w:pPr>
            <w:r>
              <w:rPr>
                <w:rFonts w:ascii="Aptos" w:hAnsi="Aptos"/>
                <w:sz w:val="19"/>
              </w:rPr>
              <w:t>A proposition whose support, uncertainty, scope, and relationship to evidence can be evaluated.</w:t>
            </w:r>
          </w:p>
        </w:tc>
      </w:tr>
      <w:tr>
        <w:tc>
          <w:tcPr>
            <w:tcW w:type="dxa" w:w="2448"/>
            <w:tcMar>
              <w:top w:w="100" w:type="dxa"/>
              <w:start w:w="120" w:type="dxa"/>
              <w:bottom w:w="100" w:type="dxa"/>
              <w:end w:w="120" w:type="dxa"/>
            </w:tcMar>
            <w:vAlign w:val="center"/>
          </w:tcPr>
          <w:p>
            <w:pPr>
              <w:spacing w:after="40"/>
            </w:pPr>
            <w:r>
              <w:rPr>
                <w:rFonts w:ascii="Aptos" w:hAnsi="Aptos"/>
                <w:sz w:val="19"/>
              </w:rPr>
              <w:t>Authority Grant</w:t>
            </w:r>
          </w:p>
        </w:tc>
        <w:tc>
          <w:tcPr>
            <w:tcW w:type="dxa" w:w="6912"/>
            <w:tcMar>
              <w:top w:w="100" w:type="dxa"/>
              <w:start w:w="120" w:type="dxa"/>
              <w:bottom w:w="100" w:type="dxa"/>
              <w:end w:w="120" w:type="dxa"/>
            </w:tcMar>
            <w:vAlign w:val="center"/>
          </w:tcPr>
          <w:p>
            <w:pPr>
              <w:spacing w:after="40"/>
            </w:pPr>
            <w:r>
              <w:rPr>
                <w:rFonts w:ascii="Aptos" w:hAnsi="Aptos"/>
                <w:sz w:val="19"/>
              </w:rPr>
              <w:t>A bounded delegation specifying who or what may perform particular actions under defined conditions.</w:t>
            </w:r>
          </w:p>
        </w:tc>
      </w:tr>
      <w:tr>
        <w:tc>
          <w:tcPr>
            <w:tcW w:type="dxa" w:w="2448"/>
            <w:tcMar>
              <w:top w:w="100" w:type="dxa"/>
              <w:start w:w="120" w:type="dxa"/>
              <w:bottom w:w="100" w:type="dxa"/>
              <w:end w:w="120" w:type="dxa"/>
            </w:tcMar>
            <w:vAlign w:val="center"/>
          </w:tcPr>
          <w:p>
            <w:pPr>
              <w:spacing w:after="40"/>
            </w:pPr>
            <w:r>
              <w:rPr>
                <w:rFonts w:ascii="Aptos" w:hAnsi="Aptos"/>
                <w:sz w:val="19"/>
              </w:rPr>
              <w:t>Work Package</w:t>
            </w:r>
          </w:p>
        </w:tc>
        <w:tc>
          <w:tcPr>
            <w:tcW w:type="dxa" w:w="6912"/>
            <w:tcMar>
              <w:top w:w="100" w:type="dxa"/>
              <w:start w:w="120" w:type="dxa"/>
              <w:bottom w:w="100" w:type="dxa"/>
              <w:end w:w="120" w:type="dxa"/>
            </w:tcMar>
            <w:vAlign w:val="center"/>
          </w:tcPr>
          <w:p>
            <w:pPr>
              <w:spacing w:after="40"/>
            </w:pPr>
            <w:r>
              <w:rPr>
                <w:rFonts w:ascii="Aptos" w:hAnsi="Aptos"/>
                <w:sz w:val="19"/>
              </w:rPr>
              <w:t>A machine-readable unit of intended work containing objective, inputs, outputs, dependencies, authority, validation, and completion conditions.</w:t>
            </w:r>
          </w:p>
        </w:tc>
      </w:tr>
      <w:tr>
        <w:tc>
          <w:tcPr>
            <w:tcW w:type="dxa" w:w="2448"/>
            <w:tcMar>
              <w:top w:w="100" w:type="dxa"/>
              <w:start w:w="120" w:type="dxa"/>
              <w:bottom w:w="100" w:type="dxa"/>
              <w:end w:w="120" w:type="dxa"/>
            </w:tcMar>
            <w:vAlign w:val="center"/>
          </w:tcPr>
          <w:p>
            <w:pPr>
              <w:spacing w:after="40"/>
            </w:pPr>
            <w:r>
              <w:rPr>
                <w:rFonts w:ascii="Aptos" w:hAnsi="Aptos"/>
                <w:sz w:val="19"/>
              </w:rPr>
              <w:t>Decision</w:t>
            </w:r>
          </w:p>
        </w:tc>
        <w:tc>
          <w:tcPr>
            <w:tcW w:type="dxa" w:w="6912"/>
            <w:tcMar>
              <w:top w:w="100" w:type="dxa"/>
              <w:start w:w="120" w:type="dxa"/>
              <w:bottom w:w="100" w:type="dxa"/>
              <w:end w:w="120" w:type="dxa"/>
            </w:tcMar>
            <w:vAlign w:val="center"/>
          </w:tcPr>
          <w:p>
            <w:pPr>
              <w:spacing w:after="40"/>
            </w:pPr>
            <w:r>
              <w:rPr>
                <w:rFonts w:ascii="Aptos" w:hAnsi="Aptos"/>
                <w:sz w:val="19"/>
              </w:rPr>
              <w:t>A human-accountable commitment selecting among alternatives and changing what actions are authorised or expected.</w:t>
            </w:r>
          </w:p>
        </w:tc>
      </w:tr>
      <w:tr>
        <w:tc>
          <w:tcPr>
            <w:tcW w:type="dxa" w:w="2448"/>
            <w:tcMar>
              <w:top w:w="100" w:type="dxa"/>
              <w:start w:w="120" w:type="dxa"/>
              <w:bottom w:w="100" w:type="dxa"/>
              <w:end w:w="120" w:type="dxa"/>
            </w:tcMar>
            <w:vAlign w:val="center"/>
          </w:tcPr>
          <w:p>
            <w:pPr>
              <w:spacing w:after="40"/>
            </w:pPr>
            <w:r>
              <w:rPr>
                <w:rFonts w:ascii="Aptos" w:hAnsi="Aptos"/>
                <w:sz w:val="19"/>
              </w:rPr>
              <w:t>Transition Record</w:t>
            </w:r>
          </w:p>
        </w:tc>
        <w:tc>
          <w:tcPr>
            <w:tcW w:type="dxa" w:w="6912"/>
            <w:tcMar>
              <w:top w:w="100" w:type="dxa"/>
              <w:start w:w="120" w:type="dxa"/>
              <w:bottom w:w="100" w:type="dxa"/>
              <w:end w:w="120" w:type="dxa"/>
            </w:tcMar>
            <w:vAlign w:val="center"/>
          </w:tcPr>
          <w:p>
            <w:pPr>
              <w:spacing w:after="40"/>
            </w:pPr>
            <w:r>
              <w:rPr>
                <w:rFonts w:ascii="Aptos" w:hAnsi="Aptos"/>
                <w:sz w:val="19"/>
              </w:rPr>
              <w:t>An append-only account of a proposed, attempted, accepted, rejected, or reversed state change.</w:t>
            </w:r>
          </w:p>
        </w:tc>
      </w:tr>
    </w:tbl>
    <w:p>
      <w:pPr>
        <w:pStyle w:val="Heading2"/>
        <w:keepNext/>
      </w:pPr>
      <w:r>
        <w:t>5.2 Capability as a conditional object</w:t>
      </w:r>
    </w:p>
    <w:p>
      <w:pPr>
        <w:pStyle w:val="BodyText"/>
      </w:pPr>
      <w:r>
        <w:t>Capability is not treated as a label or a list of skills. A capability exists relative to an actor or organised system, a class of actions or outcomes, a set of enabling resources, environmental conditions, constraints, and an acceptable probability or reliability of success. This permits capability to be evaluated, composed, degraded, restored, and linked to evidence.</w:t>
      </w:r>
    </w:p>
    <w:tbl>
      <w:tblPr>
        <w:tblW w:type="auto" w:w="0"/>
        <w:jc w:val="center"/>
        <w:tblLayout w:type="fixed"/>
        <w:tblLook w:firstColumn="1" w:firstRow="1" w:lastColumn="0" w:lastRow="0" w:noHBand="0" w:noVBand="1" w:val="04A0"/>
      </w:tblPr>
      <w:tblGrid>
        <w:gridCol w:w="9360"/>
      </w:tblGrid>
      <w:tr>
        <w:tc>
          <w:tcPr>
            <w:tcW w:type="dxa" w:w="9792"/>
            <w:shd w:fill="F2F2F2"/>
            <w:tcMar>
              <w:top w:w="180" w:type="dxa"/>
              <w:start w:w="220" w:type="dxa"/>
              <w:bottom w:w="180" w:type="dxa"/>
              <w:end w:w="220" w:type="dxa"/>
            </w:tcMar>
          </w:tcPr>
          <w:p>
            <w:pPr>
              <w:spacing w:after="40"/>
            </w:pPr>
            <w:r>
              <w:rPr>
                <w:rFonts w:ascii="Aptos" w:hAnsi="Aptos"/>
                <w:b/>
                <w:color w:val="1F4E79"/>
                <w:sz w:val="19"/>
              </w:rPr>
              <w:t>Capability record</w:t>
              <w:br/>
            </w:r>
            <w:r>
              <w:rPr>
                <w:rFonts w:ascii="Aptos" w:hAnsi="Aptos"/>
                <w:sz w:val="19"/>
              </w:rPr>
              <w:t>A practical capability object includes: bearer; action or outcome class; enabling resources; required knowledge; dependencies; constraints; evidence of past performance; confidence; accountable owner; and current operational status.</w:t>
            </w:r>
          </w:p>
        </w:tc>
      </w:tr>
    </w:tbl>
    <w:p>
      <w:pPr>
        <w:spacing w:after="0"/>
      </w:pPr>
    </w:p>
    <w:p>
      <w:pPr>
        <w:pStyle w:val="Heading2"/>
        <w:keepNext/>
      </w:pPr>
      <w:r>
        <w:t>5.3 Contracts as operational interfaces</w:t>
      </w:r>
    </w:p>
    <w:p>
      <w:pPr>
        <w:pStyle w:val="BodyText"/>
      </w:pPr>
      <w:r>
        <w:t>Human and machine actors coordinate through explicit contracts. A contract does not necessarily imply a legal agreement; it is a structured execution envelope that defines what is being requested and what counts as a valid response. Examples include ResearchProgrammeRoutingRequest, WorkPackageContract, DecisionRequest, EvidenceAssessmentRequest, and ExecutionRejectionReceipt.</w:t>
      </w:r>
    </w:p>
    <w:p>
      <w:pPr>
        <w:pStyle w:val="ListBullet"/>
      </w:pPr>
      <w:r>
        <w:t>Intent: the organisational outcome sought.</w:t>
      </w:r>
    </w:p>
    <w:p>
      <w:pPr>
        <w:pStyle w:val="ListBullet"/>
      </w:pPr>
      <w:r>
        <w:t>Inputs: authoritative objects and evidence available to the executor.</w:t>
      </w:r>
    </w:p>
    <w:p>
      <w:pPr>
        <w:pStyle w:val="ListBullet"/>
      </w:pPr>
      <w:r>
        <w:t>Authority: the permitted actions and prohibited effects.</w:t>
      </w:r>
    </w:p>
    <w:p>
      <w:pPr>
        <w:pStyle w:val="ListBullet"/>
      </w:pPr>
      <w:r>
        <w:t>Constraints: safety, legal, financial, ethical, technical, and procedural limits.</w:t>
      </w:r>
    </w:p>
    <w:p>
      <w:pPr>
        <w:pStyle w:val="ListBullet"/>
      </w:pPr>
      <w:r>
        <w:t>Outputs: required artefacts and schemas.</w:t>
      </w:r>
    </w:p>
    <w:p>
      <w:pPr>
        <w:pStyle w:val="ListBullet"/>
      </w:pPr>
      <w:r>
        <w:t>Validation: checks that determine whether an output is admissible.</w:t>
      </w:r>
    </w:p>
    <w:p>
      <w:pPr>
        <w:pStyle w:val="ListBullet"/>
      </w:pPr>
      <w:r>
        <w:t>Approval: human decision points required before consequential execution.</w:t>
      </w:r>
    </w:p>
    <w:p>
      <w:pPr>
        <w:pStyle w:val="ListBullet"/>
      </w:pPr>
      <w:r>
        <w:t>Receipts: records of execution, rejection, uncertainty, and state change.</w:t>
      </w:r>
    </w:p>
    <w:p>
      <w:pPr>
        <w:pStyle w:val="Heading1"/>
        <w:keepNext/>
      </w:pPr>
      <w:r>
        <w:t>6. Organisational State</w:t>
      </w:r>
    </w:p>
    <w:p>
      <w:pPr>
        <w:pStyle w:val="BodyText"/>
      </w:pPr>
      <w:r>
        <w:t>The OOS treats an organisation as a dynamical system whose state evolves in response to evidence, decisions, human actions, machine actions, and environmental events. This does not imply that the organisation is deterministic. It means that changes should be represented well enough to study their causes, constraints, and consequences.</w:t>
      </w:r>
    </w:p>
    <w:p>
      <w:pPr>
        <w:pStyle w:val="Heading2"/>
        <w:keepNext/>
      </w:pPr>
      <w:r>
        <w:t>6.1 Candidate state components</w:t>
      </w:r>
    </w:p>
    <w:tbl>
      <w:tblPr>
        <w:tblW w:type="auto" w:w="0"/>
        <w:jc w:val="center"/>
        <w:tblLook w:firstColumn="1" w:firstRow="1" w:lastColumn="0" w:lastRow="0" w:noHBand="0" w:noVBand="1" w:val="04A0"/>
      </w:tblPr>
      <w:tblGrid>
        <w:gridCol w:w="4896"/>
        <w:gridCol w:w="4896"/>
      </w:tblGrid>
      <w:tr>
        <w:tc>
          <w:tcPr>
            <w:tcW w:type="dxa" w:w="4896"/>
            <w:shd w:fill="1F4E79"/>
          </w:tcPr>
          <w:p>
            <w:pPr>
              <w:spacing w:after="40"/>
            </w:pPr>
            <w:r>
              <w:rPr>
                <w:rFonts w:ascii="Aptos" w:hAnsi="Aptos"/>
                <w:b/>
                <w:color w:val="FFFFFF"/>
                <w:sz w:val="19"/>
              </w:rPr>
              <w:t>State component</w:t>
            </w:r>
          </w:p>
        </w:tc>
        <w:tc>
          <w:tcPr>
            <w:tcW w:type="dxa" w:w="4896"/>
            <w:shd w:fill="1F4E79"/>
          </w:tcPr>
          <w:p>
            <w:pPr>
              <w:spacing w:after="40"/>
            </w:pPr>
            <w:r>
              <w:rPr>
                <w:rFonts w:ascii="Aptos" w:hAnsi="Aptos"/>
                <w:b/>
                <w:color w:val="FFFFFF"/>
                <w:sz w:val="19"/>
              </w:rPr>
              <w:t>Question answered</w:t>
            </w:r>
          </w:p>
        </w:tc>
      </w:tr>
      <w:tr>
        <w:tc>
          <w:tcPr>
            <w:tcW w:type="dxa" w:w="4896"/>
            <w:tcMar>
              <w:top w:w="100" w:type="dxa"/>
              <w:start w:w="120" w:type="dxa"/>
              <w:bottom w:w="100" w:type="dxa"/>
              <w:end w:w="120" w:type="dxa"/>
            </w:tcMar>
          </w:tcPr>
          <w:p>
            <w:pPr>
              <w:spacing w:after="40"/>
            </w:pPr>
            <w:r>
              <w:rPr>
                <w:rFonts w:ascii="Aptos" w:hAnsi="Aptos"/>
                <w:sz w:val="19"/>
              </w:rPr>
              <w:t>Identity</w:t>
            </w:r>
          </w:p>
        </w:tc>
        <w:tc>
          <w:tcPr>
            <w:tcW w:type="dxa" w:w="4896"/>
            <w:tcMar>
              <w:top w:w="100" w:type="dxa"/>
              <w:start w:w="120" w:type="dxa"/>
              <w:bottom w:w="100" w:type="dxa"/>
              <w:end w:w="120" w:type="dxa"/>
            </w:tcMar>
          </w:tcPr>
          <w:p>
            <w:pPr>
              <w:spacing w:after="40"/>
            </w:pPr>
            <w:r>
              <w:rPr>
                <w:rFonts w:ascii="Aptos" w:hAnsi="Aptos"/>
                <w:sz w:val="19"/>
              </w:rPr>
              <w:t>What the organisation understands itself to be, including purpose, boundaries, commitments, and constitutional constraints.</w:t>
            </w:r>
          </w:p>
        </w:tc>
      </w:tr>
      <w:tr>
        <w:tc>
          <w:tcPr>
            <w:tcW w:type="dxa" w:w="4896"/>
            <w:tcMar>
              <w:top w:w="100" w:type="dxa"/>
              <w:start w:w="120" w:type="dxa"/>
              <w:bottom w:w="100" w:type="dxa"/>
              <w:end w:w="120" w:type="dxa"/>
            </w:tcMar>
          </w:tcPr>
          <w:p>
            <w:pPr>
              <w:spacing w:after="40"/>
            </w:pPr>
            <w:r>
              <w:rPr>
                <w:rFonts w:ascii="Aptos" w:hAnsi="Aptos"/>
                <w:sz w:val="19"/>
              </w:rPr>
              <w:t>Capability</w:t>
            </w:r>
          </w:p>
        </w:tc>
        <w:tc>
          <w:tcPr>
            <w:tcW w:type="dxa" w:w="4896"/>
            <w:tcMar>
              <w:top w:w="100" w:type="dxa"/>
              <w:start w:w="120" w:type="dxa"/>
              <w:bottom w:w="100" w:type="dxa"/>
              <w:end w:w="120" w:type="dxa"/>
            </w:tcMar>
          </w:tcPr>
          <w:p>
            <w:pPr>
              <w:spacing w:after="40"/>
            </w:pPr>
            <w:r>
              <w:rPr>
                <w:rFonts w:ascii="Aptos" w:hAnsi="Aptos"/>
                <w:sz w:val="19"/>
              </w:rPr>
              <w:t>What the organisation can presently do, with what reliability and under which conditions.</w:t>
            </w:r>
          </w:p>
        </w:tc>
      </w:tr>
      <w:tr>
        <w:tc>
          <w:tcPr>
            <w:tcW w:type="dxa" w:w="4896"/>
            <w:tcMar>
              <w:top w:w="100" w:type="dxa"/>
              <w:start w:w="120" w:type="dxa"/>
              <w:bottom w:w="100" w:type="dxa"/>
              <w:end w:w="120" w:type="dxa"/>
            </w:tcMar>
          </w:tcPr>
          <w:p>
            <w:pPr>
              <w:spacing w:after="40"/>
            </w:pPr>
            <w:r>
              <w:rPr>
                <w:rFonts w:ascii="Aptos" w:hAnsi="Aptos"/>
                <w:sz w:val="19"/>
              </w:rPr>
              <w:t>Knowledge and evidence</w:t>
            </w:r>
          </w:p>
        </w:tc>
        <w:tc>
          <w:tcPr>
            <w:tcW w:type="dxa" w:w="4896"/>
            <w:tcMar>
              <w:top w:w="100" w:type="dxa"/>
              <w:start w:w="120" w:type="dxa"/>
              <w:bottom w:w="100" w:type="dxa"/>
              <w:end w:w="120" w:type="dxa"/>
            </w:tcMar>
          </w:tcPr>
          <w:p>
            <w:pPr>
              <w:spacing w:after="40"/>
            </w:pPr>
            <w:r>
              <w:rPr>
                <w:rFonts w:ascii="Aptos" w:hAnsi="Aptos"/>
                <w:sz w:val="19"/>
              </w:rPr>
              <w:t>What is known, claimed, uncertain, contested, or unsupported.</w:t>
            </w:r>
          </w:p>
        </w:tc>
      </w:tr>
      <w:tr>
        <w:tc>
          <w:tcPr>
            <w:tcW w:type="dxa" w:w="4896"/>
            <w:tcMar>
              <w:top w:w="100" w:type="dxa"/>
              <w:start w:w="120" w:type="dxa"/>
              <w:bottom w:w="100" w:type="dxa"/>
              <w:end w:w="120" w:type="dxa"/>
            </w:tcMar>
          </w:tcPr>
          <w:p>
            <w:pPr>
              <w:spacing w:after="40"/>
            </w:pPr>
            <w:r>
              <w:rPr>
                <w:rFonts w:ascii="Aptos" w:hAnsi="Aptos"/>
                <w:sz w:val="19"/>
              </w:rPr>
              <w:t>Authority and governance</w:t>
            </w:r>
          </w:p>
        </w:tc>
        <w:tc>
          <w:tcPr>
            <w:tcW w:type="dxa" w:w="4896"/>
            <w:tcMar>
              <w:top w:w="100" w:type="dxa"/>
              <w:start w:w="120" w:type="dxa"/>
              <w:bottom w:w="100" w:type="dxa"/>
              <w:end w:w="120" w:type="dxa"/>
            </w:tcMar>
          </w:tcPr>
          <w:p>
            <w:pPr>
              <w:spacing w:after="40"/>
            </w:pPr>
            <w:r>
              <w:rPr>
                <w:rFonts w:ascii="Aptos" w:hAnsi="Aptos"/>
                <w:sz w:val="19"/>
              </w:rPr>
              <w:t>Who may decide or act, on whose behalf, and under which controls.</w:t>
            </w:r>
          </w:p>
        </w:tc>
      </w:tr>
      <w:tr>
        <w:tc>
          <w:tcPr>
            <w:tcW w:type="dxa" w:w="4896"/>
            <w:tcMar>
              <w:top w:w="100" w:type="dxa"/>
              <w:start w:w="120" w:type="dxa"/>
              <w:bottom w:w="100" w:type="dxa"/>
              <w:end w:w="120" w:type="dxa"/>
            </w:tcMar>
          </w:tcPr>
          <w:p>
            <w:pPr>
              <w:spacing w:after="40"/>
            </w:pPr>
            <w:r>
              <w:rPr>
                <w:rFonts w:ascii="Aptos" w:hAnsi="Aptos"/>
                <w:sz w:val="19"/>
              </w:rPr>
              <w:t>Commitment and work</w:t>
            </w:r>
          </w:p>
        </w:tc>
        <w:tc>
          <w:tcPr>
            <w:tcW w:type="dxa" w:w="4896"/>
            <w:tcMar>
              <w:top w:w="100" w:type="dxa"/>
              <w:start w:w="120" w:type="dxa"/>
              <w:bottom w:w="100" w:type="dxa"/>
              <w:end w:w="120" w:type="dxa"/>
            </w:tcMar>
          </w:tcPr>
          <w:p>
            <w:pPr>
              <w:spacing w:after="40"/>
            </w:pPr>
            <w:r>
              <w:rPr>
                <w:rFonts w:ascii="Aptos" w:hAnsi="Aptos"/>
                <w:sz w:val="19"/>
              </w:rPr>
              <w:t>What has been promised, prioritised, resourced, started, blocked, completed, or abandoned.</w:t>
            </w:r>
          </w:p>
        </w:tc>
      </w:tr>
      <w:tr>
        <w:tc>
          <w:tcPr>
            <w:tcW w:type="dxa" w:w="4896"/>
            <w:tcMar>
              <w:top w:w="100" w:type="dxa"/>
              <w:start w:w="120" w:type="dxa"/>
              <w:bottom w:w="100" w:type="dxa"/>
              <w:end w:w="120" w:type="dxa"/>
            </w:tcMar>
          </w:tcPr>
          <w:p>
            <w:pPr>
              <w:spacing w:after="40"/>
            </w:pPr>
            <w:r>
              <w:rPr>
                <w:rFonts w:ascii="Aptos" w:hAnsi="Aptos"/>
                <w:sz w:val="19"/>
              </w:rPr>
              <w:t>Environment and relationships</w:t>
            </w:r>
          </w:p>
        </w:tc>
        <w:tc>
          <w:tcPr>
            <w:tcW w:type="dxa" w:w="4896"/>
            <w:tcMar>
              <w:top w:w="100" w:type="dxa"/>
              <w:start w:w="120" w:type="dxa"/>
              <w:bottom w:w="100" w:type="dxa"/>
              <w:end w:w="120" w:type="dxa"/>
            </w:tcMar>
          </w:tcPr>
          <w:p>
            <w:pPr>
              <w:spacing w:after="40"/>
            </w:pPr>
            <w:r>
              <w:rPr>
                <w:rFonts w:ascii="Aptos" w:hAnsi="Aptos"/>
                <w:sz w:val="19"/>
              </w:rPr>
              <w:t>External actors, dependencies, opportunities, threats, obligations, and changing conditions.</w:t>
            </w:r>
          </w:p>
        </w:tc>
      </w:tr>
    </w:tbl>
    <w:p>
      <w:pPr>
        <w:pStyle w:val="Heading2"/>
        <w:keepNext/>
      </w:pPr>
      <w:r>
        <w:t>6.2 Transition laws</w:t>
      </w:r>
    </w:p>
    <w:p>
      <w:pPr>
        <w:pStyle w:val="BodyText"/>
      </w:pPr>
      <w:r>
        <w:t>A transition law is an explicit rule governing when and how an organisational object may change. The initial implementation uses twelve candidate laws as engineering hypotheses:</w:t>
      </w:r>
    </w:p>
    <w:p>
      <w:pPr>
        <w:pStyle w:val="ListNumber"/>
      </w:pPr>
      <w:r>
        <w:t>Identity preservation: transitions must preserve declared constitutional invariants unless an authorised constitutional change occurs.</w:t>
      </w:r>
    </w:p>
    <w:p>
      <w:pPr>
        <w:pStyle w:val="ListNumber"/>
      </w:pPr>
      <w:r>
        <w:t>Authority sufficiency: no consequential action is valid without sufficient delegated authority.</w:t>
      </w:r>
    </w:p>
    <w:p>
      <w:pPr>
        <w:pStyle w:val="ListNumber"/>
      </w:pPr>
      <w:r>
        <w:t>Evidence dependence: claims and decisions identify the evidence and assumptions on which they rely.</w:t>
      </w:r>
    </w:p>
    <w:p>
      <w:pPr>
        <w:pStyle w:val="ListNumber"/>
      </w:pPr>
      <w:r>
        <w:t>Constraint satisfaction: a transition is invalid when a binding constraint is violated.</w:t>
      </w:r>
    </w:p>
    <w:p>
      <w:pPr>
        <w:pStyle w:val="ListNumber"/>
      </w:pPr>
      <w:r>
        <w:t>Capability sufficiency: execution requires demonstrated or explicitly accepted capability.</w:t>
      </w:r>
    </w:p>
    <w:p>
      <w:pPr>
        <w:pStyle w:val="ListNumber"/>
      </w:pPr>
      <w:r>
        <w:t>Accountability persistence: automation does not remove the accountable human role.</w:t>
      </w:r>
    </w:p>
    <w:p>
      <w:pPr>
        <w:pStyle w:val="ListNumber"/>
      </w:pPr>
      <w:r>
        <w:t>Provenance preservation: derived objects retain traceable links to their sources and transformations.</w:t>
      </w:r>
    </w:p>
    <w:p>
      <w:pPr>
        <w:pStyle w:val="ListNumber"/>
      </w:pPr>
      <w:r>
        <w:t>Approval gating: designated classes of effect require approval before execution.</w:t>
      </w:r>
    </w:p>
    <w:p>
      <w:pPr>
        <w:pStyle w:val="ListNumber"/>
      </w:pPr>
      <w:r>
        <w:t>Conflict visibility: contradictory evidence, decisions, or constraints must be surfaced rather than silently resolved.</w:t>
      </w:r>
    </w:p>
    <w:p>
      <w:pPr>
        <w:pStyle w:val="ListNumber"/>
      </w:pPr>
      <w:r>
        <w:t>Uncertainty propagation: uncertainty in inputs is reflected in outputs and decisions.</w:t>
      </w:r>
    </w:p>
    <w:p>
      <w:pPr>
        <w:pStyle w:val="ListNumber"/>
      </w:pPr>
      <w:r>
        <w:t>Reversibility preference: lower-risk reversible transitions are preferred where they can test uncertain assumptions.</w:t>
      </w:r>
    </w:p>
    <w:p>
      <w:pPr>
        <w:pStyle w:val="ListNumber"/>
      </w:pPr>
      <w:r>
        <w:t>Learning update: observed outcomes update capability estimates, trust, models, and future decision rules.</w:t>
      </w:r>
    </w:p>
    <w:p>
      <w:pPr>
        <w:pStyle w:val="Heading2"/>
        <w:keepNext/>
      </w:pPr>
      <w:r>
        <w:t>6.3 State-transition record</w:t>
      </w:r>
    </w:p>
    <w:tbl>
      <w:tblPr>
        <w:tblW w:type="auto" w:w="0"/>
        <w:jc w:val="center"/>
        <w:tblLayout w:type="fixed"/>
        <w:tblLook w:firstColumn="1" w:firstRow="1" w:lastColumn="0" w:lastRow="0" w:noHBand="0" w:noVBand="1" w:val="04A0"/>
      </w:tblPr>
      <w:tblGrid>
        <w:gridCol w:w="9360"/>
      </w:tblGrid>
      <w:tr>
        <w:tc>
          <w:tcPr>
            <w:tcW w:type="dxa" w:w="9792"/>
            <w:shd w:fill="EAF2F8"/>
            <w:tcMar>
              <w:top w:w="180" w:type="dxa"/>
              <w:start w:w="220" w:type="dxa"/>
              <w:bottom w:w="180" w:type="dxa"/>
              <w:end w:w="220" w:type="dxa"/>
            </w:tcMar>
          </w:tcPr>
          <w:p>
            <w:pPr>
              <w:spacing w:after="40"/>
            </w:pPr>
            <w:r>
              <w:rPr>
                <w:rFonts w:ascii="Aptos" w:hAnsi="Aptos"/>
                <w:b/>
                <w:color w:val="1F4E79"/>
                <w:sz w:val="19"/>
              </w:rPr>
              <w:t>Minimum transition record</w:t>
              <w:br/>
            </w:r>
            <w:r>
              <w:rPr>
                <w:rFonts w:ascii="Aptos" w:hAnsi="Aptos"/>
                <w:sz w:val="19"/>
              </w:rPr>
              <w:t>transition ID; timestamp; actor identity; actor type; accountable human; source state reference; requested action; contract digest; evidence references; authority grant; validations performed; approvals; effects; result state reference; uncertainty; exceptions; and rollback status.</w:t>
            </w:r>
          </w:p>
        </w:tc>
      </w:tr>
    </w:tbl>
    <w:p>
      <w:pPr>
        <w:spacing w:after="0"/>
      </w:pPr>
    </w:p>
    <w:p>
      <w:pPr>
        <w:pStyle w:val="Heading1"/>
        <w:keepNext/>
      </w:pPr>
      <w:r>
        <w:t>7. Evidence and Governance</w:t>
      </w:r>
    </w:p>
    <w:p>
      <w:pPr>
        <w:pStyle w:val="Heading2"/>
        <w:keepNext/>
      </w:pPr>
      <w:r>
        <w:t>7.1 Evidence graph</w:t>
      </w:r>
    </w:p>
    <w:p>
      <w:pPr>
        <w:pStyle w:val="BodyText"/>
      </w:pPr>
      <w:r>
        <w:t>Evidence is represented as a graph rather than a folder of undifferentiated documents. Evidence objects may support, weaken, contradict, contextualise, supersede, or derive other objects. Each important claim can therefore be inspected through its provenance chain. The system distinguishes primary evidence, secondary interpretation, machine-generated synthesis, and human judgement.</w:t>
      </w:r>
    </w:p>
    <w:p>
      <w:pPr>
        <w:pStyle w:val="Heading2"/>
        <w:keepNext/>
      </w:pPr>
      <w:r>
        <w:t>7.2 Evidence status</w:t>
      </w:r>
    </w:p>
    <w:p>
      <w:pPr>
        <w:pStyle w:val="ListBullet"/>
      </w:pPr>
      <w:r>
        <w:t>Observed: directly recorded or measured.</w:t>
      </w:r>
    </w:p>
    <w:p>
      <w:pPr>
        <w:pStyle w:val="ListBullet"/>
      </w:pPr>
      <w:r>
        <w:t>Asserted: stated by a source but not independently verified.</w:t>
      </w:r>
    </w:p>
    <w:p>
      <w:pPr>
        <w:pStyle w:val="ListBullet"/>
      </w:pPr>
      <w:r>
        <w:t>Derived: produced through a documented transformation or inference.</w:t>
      </w:r>
    </w:p>
    <w:p>
      <w:pPr>
        <w:pStyle w:val="ListBullet"/>
      </w:pPr>
      <w:r>
        <w:t>Contested: subject to material disagreement.</w:t>
      </w:r>
    </w:p>
    <w:p>
      <w:pPr>
        <w:pStyle w:val="ListBullet"/>
      </w:pPr>
      <w:r>
        <w:t>Superseded: replaced by a later authoritative object while retained historically.</w:t>
      </w:r>
    </w:p>
    <w:p>
      <w:pPr>
        <w:pStyle w:val="ListBullet"/>
      </w:pPr>
      <w:r>
        <w:t>Unknown: insufficient evidence is available.</w:t>
      </w:r>
    </w:p>
    <w:p>
      <w:pPr>
        <w:pStyle w:val="ListBullet"/>
      </w:pPr>
      <w:r>
        <w:t>Invalidated: shown to be unreliable or inconsistent with governing criteria.</w:t>
      </w:r>
    </w:p>
    <w:p>
      <w:pPr>
        <w:pStyle w:val="Heading2"/>
        <w:keepNext/>
      </w:pPr>
      <w:r>
        <w:t>7.3 Governance domains and approval gates</w:t>
      </w:r>
    </w:p>
    <w:p>
      <w:pPr>
        <w:pStyle w:val="BodyText"/>
      </w:pPr>
      <w:r>
        <w:t>The OOS assigns actions to governance domains such as money, people, safety, legal obligations, public claims, privacy, data access, external commitments, and constitutional change. Each domain can define thresholds for machine authority, mandatory review, required evidence, and approval roles. A low-risk draft may be produced automatically; a payment, public claim, or change affecting a person's rights may require explicit human approval.</w:t>
      </w:r>
    </w:p>
    <w:p>
      <w:pPr>
        <w:pStyle w:val="Heading2"/>
        <w:keepNext/>
      </w:pPr>
      <w:r>
        <w:t>7.4 Rejection as a first-class result</w:t>
      </w:r>
    </w:p>
    <w:p>
      <w:pPr>
        <w:pStyle w:val="BodyText"/>
      </w:pPr>
      <w:r>
        <w:t>A safe organisational system must be able to refuse malformed, unauthorised, unsupported, or unsafe work. Rejection receipts are therefore first-class outputs. They record the reason for rejection, the state left unchanged, and what must be corrected before the request can proceed. This makes non-execution observable and prevents silent failure from being mistaken for successful operation.</w:t>
      </w:r>
    </w:p>
    <w:p>
      <w:pPr>
        <w:pStyle w:val="Heading1"/>
        <w:keepNext/>
      </w:pPr>
      <w:r>
        <w:t>8. Human–AI Collaboration</w:t>
      </w:r>
    </w:p>
    <w:p>
      <w:pPr>
        <w:pStyle w:val="BodyText"/>
      </w:pPr>
      <w:r>
        <w:t>The architecture allocates work according to capability and authority rather than according to a binary distinction between human and machine. Machines are well suited to search, transformation, consistency checking, simulation, drafting, monitoring, and high-volume comparison. Humans remain necessary for legitimate purpose-setting, contextual judgement, consent, contested values, relationship, accountability, and acceptance of consequential risk.</w:t>
      </w:r>
    </w:p>
    <w:p>
      <w:pPr>
        <w:pStyle w:val="Heading2"/>
        <w:keepNext/>
      </w:pPr>
      <w:r>
        <w:t>8.1 Machine authority levels</w:t>
      </w:r>
    </w:p>
    <w:tbl>
      <w:tblPr>
        <w:tblW w:type="auto" w:w="0"/>
        <w:jc w:val="center"/>
        <w:tblLook w:firstColumn="1" w:firstRow="1" w:lastColumn="0" w:lastRow="0" w:noHBand="0" w:noVBand="1" w:val="04A0"/>
      </w:tblPr>
      <w:tblGrid>
        <w:gridCol w:w="4896"/>
        <w:gridCol w:w="4896"/>
      </w:tblGrid>
      <w:tr>
        <w:tc>
          <w:tcPr>
            <w:tcW w:type="dxa" w:w="4896"/>
            <w:shd w:fill="2F75B5"/>
          </w:tcPr>
          <w:p>
            <w:pPr>
              <w:spacing w:after="40"/>
            </w:pPr>
            <w:r>
              <w:rPr>
                <w:rFonts w:ascii="Aptos" w:hAnsi="Aptos"/>
                <w:b/>
                <w:color w:val="FFFFFF"/>
                <w:sz w:val="19"/>
              </w:rPr>
              <w:t>Authority level</w:t>
            </w:r>
          </w:p>
        </w:tc>
        <w:tc>
          <w:tcPr>
            <w:tcW w:type="dxa" w:w="4896"/>
            <w:shd w:fill="2F75B5"/>
          </w:tcPr>
          <w:p>
            <w:pPr>
              <w:spacing w:after="40"/>
            </w:pPr>
            <w:r>
              <w:rPr>
                <w:rFonts w:ascii="Aptos" w:hAnsi="Aptos"/>
                <w:b/>
                <w:color w:val="FFFFFF"/>
                <w:sz w:val="19"/>
              </w:rPr>
              <w:t>Permitted role</w:t>
            </w:r>
          </w:p>
        </w:tc>
      </w:tr>
      <w:tr>
        <w:tc>
          <w:tcPr>
            <w:tcW w:type="dxa" w:w="4896"/>
            <w:tcMar>
              <w:top w:w="100" w:type="dxa"/>
              <w:start w:w="120" w:type="dxa"/>
              <w:bottom w:w="100" w:type="dxa"/>
              <w:end w:w="120" w:type="dxa"/>
            </w:tcMar>
          </w:tcPr>
          <w:p>
            <w:pPr>
              <w:spacing w:after="40"/>
            </w:pPr>
            <w:r>
              <w:rPr>
                <w:rFonts w:ascii="Aptos" w:hAnsi="Aptos"/>
                <w:sz w:val="19"/>
              </w:rPr>
              <w:t>Observe</w:t>
            </w:r>
          </w:p>
        </w:tc>
        <w:tc>
          <w:tcPr>
            <w:tcW w:type="dxa" w:w="4896"/>
            <w:tcMar>
              <w:top w:w="100" w:type="dxa"/>
              <w:start w:w="120" w:type="dxa"/>
              <w:bottom w:w="100" w:type="dxa"/>
              <w:end w:w="120" w:type="dxa"/>
            </w:tcMar>
          </w:tcPr>
          <w:p>
            <w:pPr>
              <w:spacing w:after="40"/>
            </w:pPr>
            <w:r>
              <w:rPr>
                <w:rFonts w:ascii="Aptos" w:hAnsi="Aptos"/>
                <w:sz w:val="19"/>
              </w:rPr>
              <w:t>Read approved organisational state and evidence.</w:t>
            </w:r>
          </w:p>
        </w:tc>
      </w:tr>
      <w:tr>
        <w:tc>
          <w:tcPr>
            <w:tcW w:type="dxa" w:w="4896"/>
            <w:tcMar>
              <w:top w:w="100" w:type="dxa"/>
              <w:start w:w="120" w:type="dxa"/>
              <w:bottom w:w="100" w:type="dxa"/>
              <w:end w:w="120" w:type="dxa"/>
            </w:tcMar>
          </w:tcPr>
          <w:p>
            <w:pPr>
              <w:spacing w:after="40"/>
            </w:pPr>
            <w:r>
              <w:rPr>
                <w:rFonts w:ascii="Aptos" w:hAnsi="Aptos"/>
                <w:sz w:val="19"/>
              </w:rPr>
              <w:t>Analyse</w:t>
            </w:r>
          </w:p>
        </w:tc>
        <w:tc>
          <w:tcPr>
            <w:tcW w:type="dxa" w:w="4896"/>
            <w:tcMar>
              <w:top w:w="100" w:type="dxa"/>
              <w:start w:w="120" w:type="dxa"/>
              <w:bottom w:w="100" w:type="dxa"/>
              <w:end w:w="120" w:type="dxa"/>
            </w:tcMar>
          </w:tcPr>
          <w:p>
            <w:pPr>
              <w:spacing w:after="40"/>
            </w:pPr>
            <w:r>
              <w:rPr>
                <w:rFonts w:ascii="Aptos" w:hAnsi="Aptos"/>
                <w:sz w:val="19"/>
              </w:rPr>
              <w:t>Produce findings, classifications, forecasts, or comparisons without changing authoritative state.</w:t>
            </w:r>
          </w:p>
        </w:tc>
      </w:tr>
      <w:tr>
        <w:tc>
          <w:tcPr>
            <w:tcW w:type="dxa" w:w="4896"/>
            <w:tcMar>
              <w:top w:w="100" w:type="dxa"/>
              <w:start w:w="120" w:type="dxa"/>
              <w:bottom w:w="100" w:type="dxa"/>
              <w:end w:w="120" w:type="dxa"/>
            </w:tcMar>
          </w:tcPr>
          <w:p>
            <w:pPr>
              <w:spacing w:after="40"/>
            </w:pPr>
            <w:r>
              <w:rPr>
                <w:rFonts w:ascii="Aptos" w:hAnsi="Aptos"/>
                <w:sz w:val="19"/>
              </w:rPr>
              <w:t>Draft</w:t>
            </w:r>
          </w:p>
        </w:tc>
        <w:tc>
          <w:tcPr>
            <w:tcW w:type="dxa" w:w="4896"/>
            <w:tcMar>
              <w:top w:w="100" w:type="dxa"/>
              <w:start w:w="120" w:type="dxa"/>
              <w:bottom w:w="100" w:type="dxa"/>
              <w:end w:w="120" w:type="dxa"/>
            </w:tcMar>
          </w:tcPr>
          <w:p>
            <w:pPr>
              <w:spacing w:after="40"/>
            </w:pPr>
            <w:r>
              <w:rPr>
                <w:rFonts w:ascii="Aptos" w:hAnsi="Aptos"/>
                <w:sz w:val="19"/>
              </w:rPr>
              <w:t>Create proposed artefacts for human review.</w:t>
            </w:r>
          </w:p>
        </w:tc>
      </w:tr>
      <w:tr>
        <w:tc>
          <w:tcPr>
            <w:tcW w:type="dxa" w:w="4896"/>
            <w:tcMar>
              <w:top w:w="100" w:type="dxa"/>
              <w:start w:w="120" w:type="dxa"/>
              <w:bottom w:w="100" w:type="dxa"/>
              <w:end w:w="120" w:type="dxa"/>
            </w:tcMar>
          </w:tcPr>
          <w:p>
            <w:pPr>
              <w:spacing w:after="40"/>
            </w:pPr>
            <w:r>
              <w:rPr>
                <w:rFonts w:ascii="Aptos" w:hAnsi="Aptos"/>
                <w:sz w:val="19"/>
              </w:rPr>
              <w:t>Recommend</w:t>
            </w:r>
          </w:p>
        </w:tc>
        <w:tc>
          <w:tcPr>
            <w:tcW w:type="dxa" w:w="4896"/>
            <w:tcMar>
              <w:top w:w="100" w:type="dxa"/>
              <w:start w:w="120" w:type="dxa"/>
              <w:bottom w:w="100" w:type="dxa"/>
              <w:end w:w="120" w:type="dxa"/>
            </w:tcMar>
          </w:tcPr>
          <w:p>
            <w:pPr>
              <w:spacing w:after="40"/>
            </w:pPr>
            <w:r>
              <w:rPr>
                <w:rFonts w:ascii="Aptos" w:hAnsi="Aptos"/>
                <w:sz w:val="19"/>
              </w:rPr>
              <w:t>Propose a decision or action with supporting evidence and uncertainty.</w:t>
            </w:r>
          </w:p>
        </w:tc>
      </w:tr>
      <w:tr>
        <w:tc>
          <w:tcPr>
            <w:tcW w:type="dxa" w:w="4896"/>
            <w:tcMar>
              <w:top w:w="100" w:type="dxa"/>
              <w:start w:w="120" w:type="dxa"/>
              <w:bottom w:w="100" w:type="dxa"/>
              <w:end w:w="120" w:type="dxa"/>
            </w:tcMar>
          </w:tcPr>
          <w:p>
            <w:pPr>
              <w:spacing w:after="40"/>
            </w:pPr>
            <w:r>
              <w:rPr>
                <w:rFonts w:ascii="Aptos" w:hAnsi="Aptos"/>
                <w:sz w:val="19"/>
              </w:rPr>
              <w:t>Validate</w:t>
            </w:r>
          </w:p>
        </w:tc>
        <w:tc>
          <w:tcPr>
            <w:tcW w:type="dxa" w:w="4896"/>
            <w:tcMar>
              <w:top w:w="100" w:type="dxa"/>
              <w:start w:w="120" w:type="dxa"/>
              <w:bottom w:w="100" w:type="dxa"/>
              <w:end w:w="120" w:type="dxa"/>
            </w:tcMar>
          </w:tcPr>
          <w:p>
            <w:pPr>
              <w:spacing w:after="40"/>
            </w:pPr>
            <w:r>
              <w:rPr>
                <w:rFonts w:ascii="Aptos" w:hAnsi="Aptos"/>
                <w:sz w:val="19"/>
              </w:rPr>
              <w:t>Check artefacts or requests against schemas, constraints, and policies.</w:t>
            </w:r>
          </w:p>
        </w:tc>
      </w:tr>
      <w:tr>
        <w:tc>
          <w:tcPr>
            <w:tcW w:type="dxa" w:w="4896"/>
            <w:tcMar>
              <w:top w:w="100" w:type="dxa"/>
              <w:start w:w="120" w:type="dxa"/>
              <w:bottom w:w="100" w:type="dxa"/>
              <w:end w:w="120" w:type="dxa"/>
            </w:tcMar>
          </w:tcPr>
          <w:p>
            <w:pPr>
              <w:spacing w:after="40"/>
            </w:pPr>
            <w:r>
              <w:rPr>
                <w:rFonts w:ascii="Aptos" w:hAnsi="Aptos"/>
                <w:sz w:val="19"/>
              </w:rPr>
              <w:t>Execute reversible</w:t>
            </w:r>
          </w:p>
        </w:tc>
        <w:tc>
          <w:tcPr>
            <w:tcW w:type="dxa" w:w="4896"/>
            <w:tcMar>
              <w:top w:w="100" w:type="dxa"/>
              <w:start w:w="120" w:type="dxa"/>
              <w:bottom w:w="100" w:type="dxa"/>
              <w:end w:w="120" w:type="dxa"/>
            </w:tcMar>
          </w:tcPr>
          <w:p>
            <w:pPr>
              <w:spacing w:after="40"/>
            </w:pPr>
            <w:r>
              <w:rPr>
                <w:rFonts w:ascii="Aptos" w:hAnsi="Aptos"/>
                <w:sz w:val="19"/>
              </w:rPr>
              <w:t>Perform bounded actions that can be safely reversed or staged.</w:t>
            </w:r>
          </w:p>
        </w:tc>
      </w:tr>
      <w:tr>
        <w:tc>
          <w:tcPr>
            <w:tcW w:type="dxa" w:w="4896"/>
            <w:tcMar>
              <w:top w:w="100" w:type="dxa"/>
              <w:start w:w="120" w:type="dxa"/>
              <w:bottom w:w="100" w:type="dxa"/>
              <w:end w:w="120" w:type="dxa"/>
            </w:tcMar>
          </w:tcPr>
          <w:p>
            <w:pPr>
              <w:spacing w:after="40"/>
            </w:pPr>
            <w:r>
              <w:rPr>
                <w:rFonts w:ascii="Aptos" w:hAnsi="Aptos"/>
                <w:sz w:val="19"/>
              </w:rPr>
              <w:t>Execute consequential</w:t>
            </w:r>
          </w:p>
        </w:tc>
        <w:tc>
          <w:tcPr>
            <w:tcW w:type="dxa" w:w="4896"/>
            <w:tcMar>
              <w:top w:w="100" w:type="dxa"/>
              <w:start w:w="120" w:type="dxa"/>
              <w:bottom w:w="100" w:type="dxa"/>
              <w:end w:w="120" w:type="dxa"/>
            </w:tcMar>
          </w:tcPr>
          <w:p>
            <w:pPr>
              <w:spacing w:after="40"/>
            </w:pPr>
            <w:r>
              <w:rPr>
                <w:rFonts w:ascii="Aptos" w:hAnsi="Aptos"/>
                <w:sz w:val="19"/>
              </w:rPr>
              <w:t>Perform high-impact actions only when a valid approval and authority chain is present.</w:t>
            </w:r>
          </w:p>
        </w:tc>
      </w:tr>
      <w:tr>
        <w:tc>
          <w:tcPr>
            <w:tcW w:type="dxa" w:w="4896"/>
            <w:tcMar>
              <w:top w:w="100" w:type="dxa"/>
              <w:start w:w="120" w:type="dxa"/>
              <w:bottom w:w="100" w:type="dxa"/>
              <w:end w:w="120" w:type="dxa"/>
            </w:tcMar>
          </w:tcPr>
          <w:p>
            <w:pPr>
              <w:spacing w:after="40"/>
            </w:pPr>
            <w:r>
              <w:rPr>
                <w:rFonts w:ascii="Aptos" w:hAnsi="Aptos"/>
                <w:sz w:val="19"/>
              </w:rPr>
              <w:t>Prohibited</w:t>
            </w:r>
          </w:p>
        </w:tc>
        <w:tc>
          <w:tcPr>
            <w:tcW w:type="dxa" w:w="4896"/>
            <w:tcMar>
              <w:top w:w="100" w:type="dxa"/>
              <w:start w:w="120" w:type="dxa"/>
              <w:bottom w:w="100" w:type="dxa"/>
              <w:end w:w="120" w:type="dxa"/>
            </w:tcMar>
          </w:tcPr>
          <w:p>
            <w:pPr>
              <w:spacing w:after="40"/>
            </w:pPr>
            <w:r>
              <w:rPr>
                <w:rFonts w:ascii="Aptos" w:hAnsi="Aptos"/>
                <w:sz w:val="19"/>
              </w:rPr>
              <w:t>Actions the machine may not perform regardless of technical capability.</w:t>
            </w:r>
          </w:p>
        </w:tc>
      </w:tr>
    </w:tbl>
    <w:p>
      <w:pPr>
        <w:pStyle w:val="Heading2"/>
        <w:keepNext/>
      </w:pPr>
      <w:r>
        <w:t>8.2 Accountable human roles</w:t>
      </w:r>
    </w:p>
    <w:p>
      <w:pPr>
        <w:pStyle w:val="BodyText"/>
      </w:pPr>
      <w:r>
        <w:t>Each machine actor is bound to an accountable human role. Accountability is not reduced to approving every output; it includes defining the operating scope, maintaining relevant policies, reviewing exceptions, responding to harm, and deciding when automation should be paused or redesigned. The architecture therefore supports both local approval and systemic accountability.</w:t>
      </w:r>
    </w:p>
    <w:p>
      <w:pPr>
        <w:pStyle w:val="Heading2"/>
        <w:keepNext/>
      </w:pPr>
      <w:r>
        <w:t>8.3 Interaction patterns</w:t>
      </w:r>
    </w:p>
    <w:p>
      <w:pPr>
        <w:pStyle w:val="ListBullet"/>
      </w:pPr>
      <w:r>
        <w:t>Human-to-machine: a person issues a typed request with authority and evidence.</w:t>
      </w:r>
    </w:p>
    <w:p>
      <w:pPr>
        <w:pStyle w:val="ListBullet"/>
      </w:pPr>
      <w:r>
        <w:t>Machine-to-human: a machine returns a decision request, uncertainty notice, exception, or review package.</w:t>
      </w:r>
    </w:p>
    <w:p>
      <w:pPr>
        <w:pStyle w:val="ListBullet"/>
      </w:pPr>
      <w:r>
        <w:t>Machine-to-machine: agents exchange contracts within declared trust and authority boundaries.</w:t>
      </w:r>
    </w:p>
    <w:p>
      <w:pPr>
        <w:pStyle w:val="ListBullet"/>
      </w:pPr>
      <w:r>
        <w:t>Human-to-human through the system: decisions, delegations, challenges, and commitments become durable organisational objects.</w:t>
      </w:r>
    </w:p>
    <w:p>
      <w:pPr>
        <w:pStyle w:val="ListBullet"/>
      </w:pPr>
      <w:r>
        <w:t>Environment-to-system: observations and events enter as evidence, triggers, or state-change proposals.</w:t>
      </w:r>
    </w:p>
    <w:p>
      <w:pPr>
        <w:pStyle w:val="Heading1"/>
        <w:keepNext/>
      </w:pPr>
      <w:r>
        <w:t>9. Reference Implementation</w:t>
      </w:r>
    </w:p>
    <w:p>
      <w:pPr>
        <w:pStyle w:val="BodyText"/>
      </w:pPr>
      <w:r>
        <w:t>The reference implementation is designed as a repository-centred operating substrate rather than a monolithic application. Git repositories provide versioned schemas, policies, contracts, validators, reference objects, tests, and documentation. APIs, connectors, scheduled workflows, and agents perform bounded operations against this substrate. External operational systems remain authoritative for their own records while exposing relevant state through adapters.</w:t>
      </w:r>
    </w:p>
    <w:p>
      <w:pPr>
        <w:pStyle w:val="Heading2"/>
        <w:keepNext/>
      </w:pPr>
      <w:r>
        <w:t>9.1 Layered architecture</w:t>
      </w:r>
    </w:p>
    <w:tbl>
      <w:tblPr>
        <w:tblW w:type="auto" w:w="0"/>
        <w:jc w:val="center"/>
        <w:tblLayout w:type="fixed"/>
        <w:tblLook w:firstColumn="1" w:firstRow="1" w:lastColumn="0" w:lastRow="0" w:noHBand="0" w:noVBand="1" w:val="04A0"/>
      </w:tblPr>
      <w:tblGrid>
        <w:gridCol w:w="2448"/>
        <w:gridCol w:w="6912"/>
      </w:tblGrid>
      <w:tr>
        <w:tc>
          <w:tcPr>
            <w:tcW w:type="dxa" w:w="4896"/>
            <w:shd w:fill="1F4E79"/>
          </w:tcPr>
          <w:p>
            <w:pPr>
              <w:spacing w:after="40"/>
            </w:pPr>
            <w:r>
              <w:rPr>
                <w:rFonts w:ascii="Aptos" w:hAnsi="Aptos"/>
                <w:b/>
                <w:color w:val="FFFFFF"/>
                <w:sz w:val="19"/>
              </w:rPr>
              <w:t>Layer</w:t>
            </w:r>
          </w:p>
        </w:tc>
        <w:tc>
          <w:tcPr>
            <w:tcW w:type="dxa" w:w="4896"/>
            <w:shd w:fill="1F4E79"/>
          </w:tcPr>
          <w:p>
            <w:pPr>
              <w:spacing w:after="40"/>
            </w:pPr>
            <w:r>
              <w:rPr>
                <w:rFonts w:ascii="Aptos" w:hAnsi="Aptos"/>
                <w:b/>
                <w:color w:val="FFFFFF"/>
                <w:sz w:val="19"/>
              </w:rPr>
              <w:t>Function</w:t>
            </w:r>
          </w:p>
        </w:tc>
      </w:tr>
      <w:tr>
        <w:tc>
          <w:tcPr>
            <w:tcW w:type="dxa" w:w="2448"/>
            <w:tcMar>
              <w:top w:w="100" w:type="dxa"/>
              <w:start w:w="120" w:type="dxa"/>
              <w:bottom w:w="100" w:type="dxa"/>
              <w:end w:w="120" w:type="dxa"/>
            </w:tcMar>
          </w:tcPr>
          <w:p>
            <w:pPr>
              <w:spacing w:after="40"/>
            </w:pPr>
            <w:r>
              <w:rPr>
                <w:rFonts w:ascii="Aptos" w:hAnsi="Aptos"/>
                <w:sz w:val="19"/>
              </w:rPr>
              <w:t>1. Constitutional layer</w:t>
            </w:r>
          </w:p>
        </w:tc>
        <w:tc>
          <w:tcPr>
            <w:tcW w:type="dxa" w:w="6912"/>
            <w:tcMar>
              <w:top w:w="100" w:type="dxa"/>
              <w:start w:w="120" w:type="dxa"/>
              <w:bottom w:w="100" w:type="dxa"/>
              <w:end w:w="120" w:type="dxa"/>
            </w:tcMar>
          </w:tcPr>
          <w:p>
            <w:pPr>
              <w:spacing w:after="40"/>
            </w:pPr>
            <w:r>
              <w:rPr>
                <w:rFonts w:ascii="Aptos" w:hAnsi="Aptos"/>
                <w:sz w:val="19"/>
              </w:rPr>
              <w:t>Purpose, identity, non-negotiable constraints, governance domains, and accountable roles.</w:t>
            </w:r>
          </w:p>
        </w:tc>
      </w:tr>
      <w:tr>
        <w:tc>
          <w:tcPr>
            <w:tcW w:type="dxa" w:w="2448"/>
            <w:tcMar>
              <w:top w:w="100" w:type="dxa"/>
              <w:start w:w="120" w:type="dxa"/>
              <w:bottom w:w="100" w:type="dxa"/>
              <w:end w:w="120" w:type="dxa"/>
            </w:tcMar>
          </w:tcPr>
          <w:p>
            <w:pPr>
              <w:spacing w:after="40"/>
            </w:pPr>
            <w:r>
              <w:rPr>
                <w:rFonts w:ascii="Aptos" w:hAnsi="Aptos"/>
                <w:sz w:val="19"/>
              </w:rPr>
              <w:t>2. Ontology layer</w:t>
            </w:r>
          </w:p>
        </w:tc>
        <w:tc>
          <w:tcPr>
            <w:tcW w:type="dxa" w:w="6912"/>
            <w:tcMar>
              <w:top w:w="100" w:type="dxa"/>
              <w:start w:w="120" w:type="dxa"/>
              <w:bottom w:w="100" w:type="dxa"/>
              <w:end w:w="120" w:type="dxa"/>
            </w:tcMar>
          </w:tcPr>
          <w:p>
            <w:pPr>
              <w:spacing w:after="40"/>
            </w:pPr>
            <w:r>
              <w:rPr>
                <w:rFonts w:ascii="Aptos" w:hAnsi="Aptos"/>
                <w:sz w:val="19"/>
              </w:rPr>
              <w:t>Schemas and vocabularies for organisational objects and relations.</w:t>
            </w:r>
          </w:p>
        </w:tc>
      </w:tr>
      <w:tr>
        <w:tc>
          <w:tcPr>
            <w:tcW w:type="dxa" w:w="2448"/>
            <w:tcMar>
              <w:top w:w="100" w:type="dxa"/>
              <w:start w:w="120" w:type="dxa"/>
              <w:bottom w:w="100" w:type="dxa"/>
              <w:end w:w="120" w:type="dxa"/>
            </w:tcMar>
          </w:tcPr>
          <w:p>
            <w:pPr>
              <w:spacing w:after="40"/>
            </w:pPr>
            <w:r>
              <w:rPr>
                <w:rFonts w:ascii="Aptos" w:hAnsi="Aptos"/>
                <w:sz w:val="19"/>
              </w:rPr>
              <w:t>3. Evidence layer</w:t>
            </w:r>
          </w:p>
        </w:tc>
        <w:tc>
          <w:tcPr>
            <w:tcW w:type="dxa" w:w="6912"/>
            <w:tcMar>
              <w:top w:w="100" w:type="dxa"/>
              <w:start w:w="120" w:type="dxa"/>
              <w:bottom w:w="100" w:type="dxa"/>
              <w:end w:w="120" w:type="dxa"/>
            </w:tcMar>
          </w:tcPr>
          <w:p>
            <w:pPr>
              <w:spacing w:after="40"/>
            </w:pPr>
            <w:r>
              <w:rPr>
                <w:rFonts w:ascii="Aptos" w:hAnsi="Aptos"/>
                <w:sz w:val="19"/>
              </w:rPr>
              <w:t>Evidence objects, provenance, claims, uncertainty, and validation status.</w:t>
            </w:r>
          </w:p>
        </w:tc>
      </w:tr>
      <w:tr>
        <w:tc>
          <w:tcPr>
            <w:tcW w:type="dxa" w:w="2448"/>
            <w:tcMar>
              <w:top w:w="100" w:type="dxa"/>
              <w:start w:w="120" w:type="dxa"/>
              <w:bottom w:w="100" w:type="dxa"/>
              <w:end w:w="120" w:type="dxa"/>
            </w:tcMar>
          </w:tcPr>
          <w:p>
            <w:pPr>
              <w:spacing w:after="40"/>
            </w:pPr>
            <w:r>
              <w:rPr>
                <w:rFonts w:ascii="Aptos" w:hAnsi="Aptos"/>
                <w:sz w:val="19"/>
              </w:rPr>
              <w:t>4. Contract layer</w:t>
            </w:r>
          </w:p>
        </w:tc>
        <w:tc>
          <w:tcPr>
            <w:tcW w:type="dxa" w:w="6912"/>
            <w:tcMar>
              <w:top w:w="100" w:type="dxa"/>
              <w:start w:w="120" w:type="dxa"/>
              <w:bottom w:w="100" w:type="dxa"/>
              <w:end w:w="120" w:type="dxa"/>
            </w:tcMar>
          </w:tcPr>
          <w:p>
            <w:pPr>
              <w:spacing w:after="40"/>
            </w:pPr>
            <w:r>
              <w:rPr>
                <w:rFonts w:ascii="Aptos" w:hAnsi="Aptos"/>
                <w:sz w:val="19"/>
              </w:rPr>
              <w:t>Typed requests, work packages, decision requests, and response contracts.</w:t>
            </w:r>
          </w:p>
        </w:tc>
      </w:tr>
      <w:tr>
        <w:tc>
          <w:tcPr>
            <w:tcW w:type="dxa" w:w="2448"/>
            <w:tcMar>
              <w:top w:w="100" w:type="dxa"/>
              <w:start w:w="120" w:type="dxa"/>
              <w:bottom w:w="100" w:type="dxa"/>
              <w:end w:w="120" w:type="dxa"/>
            </w:tcMar>
          </w:tcPr>
          <w:p>
            <w:pPr>
              <w:spacing w:after="40"/>
            </w:pPr>
            <w:r>
              <w:rPr>
                <w:rFonts w:ascii="Aptos" w:hAnsi="Aptos"/>
                <w:sz w:val="19"/>
              </w:rPr>
              <w:t>5. Execution layer</w:t>
            </w:r>
          </w:p>
        </w:tc>
        <w:tc>
          <w:tcPr>
            <w:tcW w:type="dxa" w:w="6912"/>
            <w:tcMar>
              <w:top w:w="100" w:type="dxa"/>
              <w:start w:w="120" w:type="dxa"/>
              <w:bottom w:w="100" w:type="dxa"/>
              <w:end w:w="120" w:type="dxa"/>
            </w:tcMar>
          </w:tcPr>
          <w:p>
            <w:pPr>
              <w:spacing w:after="40"/>
            </w:pPr>
            <w:r>
              <w:rPr>
                <w:rFonts w:ascii="Aptos" w:hAnsi="Aptos"/>
                <w:sz w:val="19"/>
              </w:rPr>
              <w:t>Agents, workflows, connectors, APIs, scripts, and human tasks.</w:t>
            </w:r>
          </w:p>
        </w:tc>
      </w:tr>
      <w:tr>
        <w:tc>
          <w:tcPr>
            <w:tcW w:type="dxa" w:w="2448"/>
            <w:tcMar>
              <w:top w:w="100" w:type="dxa"/>
              <w:start w:w="120" w:type="dxa"/>
              <w:bottom w:w="100" w:type="dxa"/>
              <w:end w:w="120" w:type="dxa"/>
            </w:tcMar>
          </w:tcPr>
          <w:p>
            <w:pPr>
              <w:spacing w:after="40"/>
            </w:pPr>
            <w:r>
              <w:rPr>
                <w:rFonts w:ascii="Aptos" w:hAnsi="Aptos"/>
                <w:sz w:val="19"/>
              </w:rPr>
              <w:t>6. Governance layer</w:t>
            </w:r>
          </w:p>
        </w:tc>
        <w:tc>
          <w:tcPr>
            <w:tcW w:type="dxa" w:w="6912"/>
            <w:tcMar>
              <w:top w:w="100" w:type="dxa"/>
              <w:start w:w="120" w:type="dxa"/>
              <w:bottom w:w="100" w:type="dxa"/>
              <w:end w:w="120" w:type="dxa"/>
            </w:tcMar>
          </w:tcPr>
          <w:p>
            <w:pPr>
              <w:spacing w:after="40"/>
            </w:pPr>
            <w:r>
              <w:rPr>
                <w:rFonts w:ascii="Aptos" w:hAnsi="Aptos"/>
                <w:sz w:val="19"/>
              </w:rPr>
              <w:t>Authority grants, approvals, policy checks, safety gates, and rejection receipts.</w:t>
            </w:r>
          </w:p>
        </w:tc>
      </w:tr>
      <w:tr>
        <w:tc>
          <w:tcPr>
            <w:tcW w:type="dxa" w:w="2448"/>
            <w:tcMar>
              <w:top w:w="100" w:type="dxa"/>
              <w:start w:w="120" w:type="dxa"/>
              <w:bottom w:w="100" w:type="dxa"/>
              <w:end w:w="120" w:type="dxa"/>
            </w:tcMar>
          </w:tcPr>
          <w:p>
            <w:pPr>
              <w:spacing w:after="40"/>
            </w:pPr>
            <w:r>
              <w:rPr>
                <w:rFonts w:ascii="Aptos" w:hAnsi="Aptos"/>
                <w:sz w:val="19"/>
              </w:rPr>
              <w:t>7. Observability layer</w:t>
            </w:r>
          </w:p>
        </w:tc>
        <w:tc>
          <w:tcPr>
            <w:tcW w:type="dxa" w:w="6912"/>
            <w:tcMar>
              <w:top w:w="100" w:type="dxa"/>
              <w:start w:w="120" w:type="dxa"/>
              <w:bottom w:w="100" w:type="dxa"/>
              <w:end w:w="120" w:type="dxa"/>
            </w:tcMar>
          </w:tcPr>
          <w:p>
            <w:pPr>
              <w:spacing w:after="40"/>
            </w:pPr>
            <w:r>
              <w:rPr>
                <w:rFonts w:ascii="Aptos" w:hAnsi="Aptos"/>
                <w:sz w:val="19"/>
              </w:rPr>
              <w:t>State-transition records, metrics, alerts, traces, and audit views.</w:t>
            </w:r>
          </w:p>
        </w:tc>
      </w:tr>
      <w:tr>
        <w:tc>
          <w:tcPr>
            <w:tcW w:type="dxa" w:w="2448"/>
            <w:tcMar>
              <w:top w:w="100" w:type="dxa"/>
              <w:start w:w="120" w:type="dxa"/>
              <w:bottom w:w="100" w:type="dxa"/>
              <w:end w:w="120" w:type="dxa"/>
            </w:tcMar>
          </w:tcPr>
          <w:p>
            <w:pPr>
              <w:spacing w:after="40"/>
            </w:pPr>
            <w:r>
              <w:rPr>
                <w:rFonts w:ascii="Aptos" w:hAnsi="Aptos"/>
                <w:sz w:val="19"/>
              </w:rPr>
              <w:t>8. Learning layer</w:t>
            </w:r>
          </w:p>
        </w:tc>
        <w:tc>
          <w:tcPr>
            <w:tcW w:type="dxa" w:w="6912"/>
            <w:tcMar>
              <w:top w:w="100" w:type="dxa"/>
              <w:start w:w="120" w:type="dxa"/>
              <w:bottom w:w="100" w:type="dxa"/>
              <w:end w:w="120" w:type="dxa"/>
            </w:tcMar>
          </w:tcPr>
          <w:p>
            <w:pPr>
              <w:spacing w:after="40"/>
            </w:pPr>
            <w:r>
              <w:rPr>
                <w:rFonts w:ascii="Aptos" w:hAnsi="Aptos"/>
                <w:sz w:val="19"/>
              </w:rPr>
              <w:t>Evaluation, outcome evidence, model updates, ontology evolution, and design changes.</w:t>
            </w:r>
          </w:p>
        </w:tc>
      </w:tr>
    </w:tbl>
    <w:p>
      <w:pPr>
        <w:pStyle w:val="Heading2"/>
        <w:keepNext/>
      </w:pPr>
      <w:r>
        <w:t>9.2 Repository structure</w:t>
      </w:r>
    </w:p>
    <w:tbl>
      <w:tblPr>
        <w:tblW w:type="auto" w:w="0"/>
        <w:jc w:val="center"/>
        <w:tblLayout w:type="fixed"/>
        <w:tblLook w:firstColumn="1" w:firstRow="1" w:lastColumn="0" w:lastRow="0" w:noHBand="0" w:noVBand="1" w:val="04A0"/>
      </w:tblPr>
      <w:tblGrid>
        <w:gridCol w:w="9360"/>
      </w:tblGrid>
      <w:tr>
        <w:tc>
          <w:tcPr>
            <w:tcW w:type="dxa" w:w="9792"/>
            <w:shd w:fill="F2F2F2"/>
            <w:tcMar>
              <w:top w:w="180" w:type="dxa"/>
              <w:start w:w="220" w:type="dxa"/>
              <w:bottom w:w="180" w:type="dxa"/>
              <w:end w:w="220" w:type="dxa"/>
            </w:tcMar>
          </w:tcPr>
          <w:p>
            <w:pPr>
              <w:spacing w:after="40"/>
            </w:pPr>
            <w:r>
              <w:rPr>
                <w:rFonts w:ascii="Aptos" w:hAnsi="Aptos"/>
                <w:b/>
                <w:color w:val="1F4E79"/>
                <w:sz w:val="19"/>
              </w:rPr>
              <w:t>Illustrative structure</w:t>
              <w:br/>
            </w:r>
            <w:r>
              <w:rPr>
                <w:rFonts w:ascii="Aptos" w:hAnsi="Aptos"/>
                <w:sz w:val="19"/>
              </w:rPr>
              <w:t>00-start-here/; 01-organisation/; 02-ontology/; 03-schemas/; 04-contracts/; 05-governance/; 06-evidence/; 07-agents/; 08-workflows/; 09-observability/; 10-reference-implementations/; 11-tests/; 12-research/; 13-docs/; .github/workflows/.</w:t>
            </w:r>
          </w:p>
        </w:tc>
      </w:tr>
    </w:tbl>
    <w:p>
      <w:pPr>
        <w:spacing w:after="0"/>
      </w:pPr>
    </w:p>
    <w:p>
      <w:pPr>
        <w:pStyle w:val="Heading2"/>
        <w:keepNext/>
      </w:pPr>
      <w:r>
        <w:t>9.3 Validation and continuous assurance</w:t>
      </w:r>
    </w:p>
    <w:p>
      <w:pPr>
        <w:pStyle w:val="BodyText"/>
      </w:pPr>
      <w:r>
        <w:t>Continuous integration validates schemas, object references, contract envelopes, authority fields, evidence links, and test fixtures. A request that does not satisfy the declared contract is rejected before execution. Successful runs produce machine-readable receipts. The same mechanisms used to validate software are extended to organisational artefacts, while recognising that many social and ethical judgements cannot be reduced to automated tests.</w:t>
      </w:r>
    </w:p>
    <w:p>
      <w:pPr>
        <w:pStyle w:val="Heading2"/>
        <w:keepNext/>
      </w:pPr>
      <w:r>
        <w:t>9.4 Observability and the Chief Programme Architect view</w:t>
      </w:r>
    </w:p>
    <w:p>
      <w:pPr>
        <w:pStyle w:val="BodyText"/>
      </w:pPr>
      <w:r>
        <w:t>A conventional dashboard is insufficient when it merely visualises activity. The required view is an organisational observatory: a system that reveals whether evidence is accumulating, whether programmes are operationally complete, whether machines are acting within authority, whether pilots have succeeded or failed, and whether organisational state is becoming more coherent or more fragile.</w:t>
      </w:r>
    </w:p>
    <w:tbl>
      <w:tblPr>
        <w:tblW w:type="auto" w:w="0"/>
        <w:jc w:val="center"/>
        <w:tblLook w:firstColumn="1" w:firstRow="1" w:lastColumn="0" w:lastRow="0" w:noHBand="0" w:noVBand="1" w:val="04A0"/>
      </w:tblPr>
      <w:tblGrid>
        <w:gridCol w:w="4896"/>
        <w:gridCol w:w="4896"/>
      </w:tblGrid>
      <w:tr>
        <w:tc>
          <w:tcPr>
            <w:tcW w:type="dxa" w:w="4896"/>
            <w:shd w:fill="2F75B5"/>
          </w:tcPr>
          <w:p>
            <w:pPr>
              <w:spacing w:after="40"/>
            </w:pPr>
            <w:r>
              <w:rPr>
                <w:rFonts w:ascii="Aptos" w:hAnsi="Aptos"/>
                <w:b/>
                <w:color w:val="FFFFFF"/>
                <w:sz w:val="19"/>
              </w:rPr>
              <w:t>Metric family</w:t>
            </w:r>
          </w:p>
        </w:tc>
        <w:tc>
          <w:tcPr>
            <w:tcW w:type="dxa" w:w="4896"/>
            <w:shd w:fill="2F75B5"/>
          </w:tcPr>
          <w:p>
            <w:pPr>
              <w:spacing w:after="40"/>
            </w:pPr>
            <w:r>
              <w:rPr>
                <w:rFonts w:ascii="Aptos" w:hAnsi="Aptos"/>
                <w:b/>
                <w:color w:val="FFFFFF"/>
                <w:sz w:val="19"/>
              </w:rPr>
              <w:t>Meaning</w:t>
            </w:r>
          </w:p>
        </w:tc>
      </w:tr>
      <w:tr>
        <w:tc>
          <w:tcPr>
            <w:tcW w:type="dxa" w:w="4896"/>
            <w:tcMar>
              <w:top w:w="100" w:type="dxa"/>
              <w:start w:w="120" w:type="dxa"/>
              <w:bottom w:w="100" w:type="dxa"/>
              <w:end w:w="120" w:type="dxa"/>
            </w:tcMar>
          </w:tcPr>
          <w:p>
            <w:pPr>
              <w:spacing w:after="40"/>
            </w:pPr>
            <w:r>
              <w:rPr>
                <w:rFonts w:ascii="Aptos" w:hAnsi="Aptos"/>
                <w:sz w:val="19"/>
              </w:rPr>
              <w:t>Operational completeness</w:t>
            </w:r>
          </w:p>
        </w:tc>
        <w:tc>
          <w:tcPr>
            <w:tcW w:type="dxa" w:w="4896"/>
            <w:tcMar>
              <w:top w:w="100" w:type="dxa"/>
              <w:start w:w="120" w:type="dxa"/>
              <w:bottom w:w="100" w:type="dxa"/>
              <w:end w:w="120" w:type="dxa"/>
            </w:tcMar>
          </w:tcPr>
          <w:p>
            <w:pPr>
              <w:spacing w:after="40"/>
            </w:pPr>
            <w:r>
              <w:rPr>
                <w:rFonts w:ascii="Aptos" w:hAnsi="Aptos"/>
                <w:sz w:val="19"/>
              </w:rPr>
              <w:t>Required fields, dependencies, owners, decisions, and delivery models are present.</w:t>
            </w:r>
          </w:p>
        </w:tc>
      </w:tr>
      <w:tr>
        <w:tc>
          <w:tcPr>
            <w:tcW w:type="dxa" w:w="4896"/>
            <w:tcMar>
              <w:top w:w="100" w:type="dxa"/>
              <w:start w:w="120" w:type="dxa"/>
              <w:bottom w:w="100" w:type="dxa"/>
              <w:end w:w="120" w:type="dxa"/>
            </w:tcMar>
          </w:tcPr>
          <w:p>
            <w:pPr>
              <w:spacing w:after="40"/>
            </w:pPr>
            <w:r>
              <w:rPr>
                <w:rFonts w:ascii="Aptos" w:hAnsi="Aptos"/>
                <w:sz w:val="19"/>
              </w:rPr>
              <w:t>Evidence-link coverage</w:t>
            </w:r>
          </w:p>
        </w:tc>
        <w:tc>
          <w:tcPr>
            <w:tcW w:type="dxa" w:w="4896"/>
            <w:tcMar>
              <w:top w:w="100" w:type="dxa"/>
              <w:start w:w="120" w:type="dxa"/>
              <w:bottom w:w="100" w:type="dxa"/>
              <w:end w:w="120" w:type="dxa"/>
            </w:tcMar>
          </w:tcPr>
          <w:p>
            <w:pPr>
              <w:spacing w:after="40"/>
            </w:pPr>
            <w:r>
              <w:rPr>
                <w:rFonts w:ascii="Aptos" w:hAnsi="Aptos"/>
                <w:sz w:val="19"/>
              </w:rPr>
              <w:t>Claims, recommendations, and decisions are connected to supporting evidence.</w:t>
            </w:r>
          </w:p>
        </w:tc>
      </w:tr>
      <w:tr>
        <w:tc>
          <w:tcPr>
            <w:tcW w:type="dxa" w:w="4896"/>
            <w:tcMar>
              <w:top w:w="100" w:type="dxa"/>
              <w:start w:w="120" w:type="dxa"/>
              <w:bottom w:w="100" w:type="dxa"/>
              <w:end w:w="120" w:type="dxa"/>
            </w:tcMar>
          </w:tcPr>
          <w:p>
            <w:pPr>
              <w:spacing w:after="40"/>
            </w:pPr>
            <w:r>
              <w:rPr>
                <w:rFonts w:ascii="Aptos" w:hAnsi="Aptos"/>
                <w:sz w:val="19"/>
              </w:rPr>
              <w:t>Authority compliance</w:t>
            </w:r>
          </w:p>
        </w:tc>
        <w:tc>
          <w:tcPr>
            <w:tcW w:type="dxa" w:w="4896"/>
            <w:tcMar>
              <w:top w:w="100" w:type="dxa"/>
              <w:start w:w="120" w:type="dxa"/>
              <w:bottom w:w="100" w:type="dxa"/>
              <w:end w:w="120" w:type="dxa"/>
            </w:tcMar>
          </w:tcPr>
          <w:p>
            <w:pPr>
              <w:spacing w:after="40"/>
            </w:pPr>
            <w:r>
              <w:rPr>
                <w:rFonts w:ascii="Aptos" w:hAnsi="Aptos"/>
                <w:sz w:val="19"/>
              </w:rPr>
              <w:t>Actions occurred within valid delegated authority and approval conditions.</w:t>
            </w:r>
          </w:p>
        </w:tc>
      </w:tr>
      <w:tr>
        <w:tc>
          <w:tcPr>
            <w:tcW w:type="dxa" w:w="4896"/>
            <w:tcMar>
              <w:top w:w="100" w:type="dxa"/>
              <w:start w:w="120" w:type="dxa"/>
              <w:bottom w:w="100" w:type="dxa"/>
              <w:end w:w="120" w:type="dxa"/>
            </w:tcMar>
          </w:tcPr>
          <w:p>
            <w:pPr>
              <w:spacing w:after="40"/>
            </w:pPr>
            <w:r>
              <w:rPr>
                <w:rFonts w:ascii="Aptos" w:hAnsi="Aptos"/>
                <w:sz w:val="19"/>
              </w:rPr>
              <w:t>Transition validity</w:t>
            </w:r>
          </w:p>
        </w:tc>
        <w:tc>
          <w:tcPr>
            <w:tcW w:type="dxa" w:w="4896"/>
            <w:tcMar>
              <w:top w:w="100" w:type="dxa"/>
              <w:start w:w="120" w:type="dxa"/>
              <w:bottom w:w="100" w:type="dxa"/>
              <w:end w:w="120" w:type="dxa"/>
            </w:tcMar>
          </w:tcPr>
          <w:p>
            <w:pPr>
              <w:spacing w:after="40"/>
            </w:pPr>
            <w:r>
              <w:rPr>
                <w:rFonts w:ascii="Aptos" w:hAnsi="Aptos"/>
                <w:sz w:val="19"/>
              </w:rPr>
              <w:t>State changes passed required schema, policy, and safety checks.</w:t>
            </w:r>
          </w:p>
        </w:tc>
      </w:tr>
      <w:tr>
        <w:tc>
          <w:tcPr>
            <w:tcW w:type="dxa" w:w="4896"/>
            <w:tcMar>
              <w:top w:w="100" w:type="dxa"/>
              <w:start w:w="120" w:type="dxa"/>
              <w:bottom w:w="100" w:type="dxa"/>
              <w:end w:w="120" w:type="dxa"/>
            </w:tcMar>
          </w:tcPr>
          <w:p>
            <w:pPr>
              <w:spacing w:after="40"/>
            </w:pPr>
            <w:r>
              <w:rPr>
                <w:rFonts w:ascii="Aptos" w:hAnsi="Aptos"/>
                <w:sz w:val="19"/>
              </w:rPr>
              <w:t>Uncertainty</w:t>
            </w:r>
          </w:p>
        </w:tc>
        <w:tc>
          <w:tcPr>
            <w:tcW w:type="dxa" w:w="4896"/>
            <w:tcMar>
              <w:top w:w="100" w:type="dxa"/>
              <w:start w:w="120" w:type="dxa"/>
              <w:bottom w:w="100" w:type="dxa"/>
              <w:end w:w="120" w:type="dxa"/>
            </w:tcMar>
          </w:tcPr>
          <w:p>
            <w:pPr>
              <w:spacing w:after="40"/>
            </w:pPr>
            <w:r>
              <w:rPr>
                <w:rFonts w:ascii="Aptos" w:hAnsi="Aptos"/>
                <w:sz w:val="19"/>
              </w:rPr>
              <w:t>Known unknowns, confidence limits, and unresolved contradictions.</w:t>
            </w:r>
          </w:p>
        </w:tc>
      </w:tr>
      <w:tr>
        <w:tc>
          <w:tcPr>
            <w:tcW w:type="dxa" w:w="4896"/>
            <w:tcMar>
              <w:top w:w="100" w:type="dxa"/>
              <w:start w:w="120" w:type="dxa"/>
              <w:bottom w:w="100" w:type="dxa"/>
              <w:end w:w="120" w:type="dxa"/>
            </w:tcMar>
          </w:tcPr>
          <w:p>
            <w:pPr>
              <w:spacing w:after="40"/>
            </w:pPr>
            <w:r>
              <w:rPr>
                <w:rFonts w:ascii="Aptos" w:hAnsi="Aptos"/>
                <w:sz w:val="19"/>
              </w:rPr>
              <w:t>Trust</w:t>
            </w:r>
          </w:p>
        </w:tc>
        <w:tc>
          <w:tcPr>
            <w:tcW w:type="dxa" w:w="4896"/>
            <w:tcMar>
              <w:top w:w="100" w:type="dxa"/>
              <w:start w:w="120" w:type="dxa"/>
              <w:bottom w:w="100" w:type="dxa"/>
              <w:end w:w="120" w:type="dxa"/>
            </w:tcMar>
          </w:tcPr>
          <w:p>
            <w:pPr>
              <w:spacing w:after="40"/>
            </w:pPr>
            <w:r>
              <w:rPr>
                <w:rFonts w:ascii="Aptos" w:hAnsi="Aptos"/>
                <w:sz w:val="19"/>
              </w:rPr>
              <w:t>Observed reliability of actors, evidence sources, workflows, and models over time.</w:t>
            </w:r>
          </w:p>
        </w:tc>
      </w:tr>
      <w:tr>
        <w:tc>
          <w:tcPr>
            <w:tcW w:type="dxa" w:w="4896"/>
            <w:tcMar>
              <w:top w:w="100" w:type="dxa"/>
              <w:start w:w="120" w:type="dxa"/>
              <w:bottom w:w="100" w:type="dxa"/>
              <w:end w:w="120" w:type="dxa"/>
            </w:tcMar>
          </w:tcPr>
          <w:p>
            <w:pPr>
              <w:spacing w:after="40"/>
            </w:pPr>
            <w:r>
              <w:rPr>
                <w:rFonts w:ascii="Aptos" w:hAnsi="Aptos"/>
                <w:sz w:val="19"/>
              </w:rPr>
              <w:t>Alignment</w:t>
            </w:r>
          </w:p>
        </w:tc>
        <w:tc>
          <w:tcPr>
            <w:tcW w:type="dxa" w:w="4896"/>
            <w:tcMar>
              <w:top w:w="100" w:type="dxa"/>
              <w:start w:w="120" w:type="dxa"/>
              <w:bottom w:w="100" w:type="dxa"/>
              <w:end w:w="120" w:type="dxa"/>
            </w:tcMar>
          </w:tcPr>
          <w:p>
            <w:pPr>
              <w:spacing w:after="40"/>
            </w:pPr>
            <w:r>
              <w:rPr>
                <w:rFonts w:ascii="Aptos" w:hAnsi="Aptos"/>
                <w:sz w:val="19"/>
              </w:rPr>
              <w:t>Degree to which actions and outcomes remain consistent with declared goals and constraints.</w:t>
            </w:r>
          </w:p>
        </w:tc>
      </w:tr>
      <w:tr>
        <w:tc>
          <w:tcPr>
            <w:tcW w:type="dxa" w:w="4896"/>
            <w:tcMar>
              <w:top w:w="100" w:type="dxa"/>
              <w:start w:w="120" w:type="dxa"/>
              <w:bottom w:w="100" w:type="dxa"/>
              <w:end w:w="120" w:type="dxa"/>
            </w:tcMar>
          </w:tcPr>
          <w:p>
            <w:pPr>
              <w:spacing w:after="40"/>
            </w:pPr>
            <w:r>
              <w:rPr>
                <w:rFonts w:ascii="Aptos" w:hAnsi="Aptos"/>
                <w:sz w:val="19"/>
              </w:rPr>
              <w:t>Resilience</w:t>
            </w:r>
          </w:p>
        </w:tc>
        <w:tc>
          <w:tcPr>
            <w:tcW w:type="dxa" w:w="4896"/>
            <w:tcMar>
              <w:top w:w="100" w:type="dxa"/>
              <w:start w:w="120" w:type="dxa"/>
              <w:bottom w:w="100" w:type="dxa"/>
              <w:end w:w="120" w:type="dxa"/>
            </w:tcMar>
          </w:tcPr>
          <w:p>
            <w:pPr>
              <w:spacing w:after="40"/>
            </w:pPr>
            <w:r>
              <w:rPr>
                <w:rFonts w:ascii="Aptos" w:hAnsi="Aptos"/>
                <w:sz w:val="19"/>
              </w:rPr>
              <w:t>Capacity to continue, recover, or adapt under disruption and error.</w:t>
            </w:r>
          </w:p>
        </w:tc>
      </w:tr>
      <w:tr>
        <w:tc>
          <w:tcPr>
            <w:tcW w:type="dxa" w:w="4896"/>
            <w:tcMar>
              <w:top w:w="100" w:type="dxa"/>
              <w:start w:w="120" w:type="dxa"/>
              <w:bottom w:w="100" w:type="dxa"/>
              <w:end w:w="120" w:type="dxa"/>
            </w:tcMar>
          </w:tcPr>
          <w:p>
            <w:pPr>
              <w:spacing w:after="40"/>
            </w:pPr>
            <w:r>
              <w:rPr>
                <w:rFonts w:ascii="Aptos" w:hAnsi="Aptos"/>
                <w:sz w:val="19"/>
              </w:rPr>
              <w:t>Learning</w:t>
            </w:r>
          </w:p>
        </w:tc>
        <w:tc>
          <w:tcPr>
            <w:tcW w:type="dxa" w:w="4896"/>
            <w:tcMar>
              <w:top w:w="100" w:type="dxa"/>
              <w:start w:w="120" w:type="dxa"/>
              <w:bottom w:w="100" w:type="dxa"/>
              <w:end w:w="120" w:type="dxa"/>
            </w:tcMar>
          </w:tcPr>
          <w:p>
            <w:pPr>
              <w:spacing w:after="40"/>
            </w:pPr>
            <w:r>
              <w:rPr>
                <w:rFonts w:ascii="Aptos" w:hAnsi="Aptos"/>
                <w:sz w:val="19"/>
              </w:rPr>
              <w:t>Rate at which outcomes update models, capabilities, policies, and future action.</w:t>
            </w:r>
          </w:p>
        </w:tc>
      </w:tr>
      <w:tr>
        <w:tc>
          <w:tcPr>
            <w:tcW w:type="dxa" w:w="4896"/>
            <w:tcMar>
              <w:top w:w="100" w:type="dxa"/>
              <w:start w:w="120" w:type="dxa"/>
              <w:bottom w:w="100" w:type="dxa"/>
              <w:end w:w="120" w:type="dxa"/>
            </w:tcMar>
          </w:tcPr>
          <w:p>
            <w:pPr>
              <w:spacing w:after="40"/>
            </w:pPr>
            <w:r>
              <w:rPr>
                <w:rFonts w:ascii="Aptos" w:hAnsi="Aptos"/>
                <w:sz w:val="19"/>
              </w:rPr>
              <w:t>Coherence</w:t>
            </w:r>
          </w:p>
        </w:tc>
        <w:tc>
          <w:tcPr>
            <w:tcW w:type="dxa" w:w="4896"/>
            <w:tcMar>
              <w:top w:w="100" w:type="dxa"/>
              <w:start w:w="120" w:type="dxa"/>
              <w:bottom w:w="100" w:type="dxa"/>
              <w:end w:w="120" w:type="dxa"/>
            </w:tcMar>
          </w:tcPr>
          <w:p>
            <w:pPr>
              <w:spacing w:after="40"/>
            </w:pPr>
            <w:r>
              <w:rPr>
                <w:rFonts w:ascii="Aptos" w:hAnsi="Aptos"/>
                <w:sz w:val="19"/>
              </w:rPr>
              <w:t>Compatibility among goals, decisions, capabilities, evidence, commitments, and actual behaviour.</w:t>
            </w:r>
          </w:p>
        </w:tc>
      </w:tr>
    </w:tbl>
    <w:p>
      <w:pPr>
        <w:pStyle w:val="Heading1"/>
        <w:keepNext/>
      </w:pPr>
      <w:r>
        <w:t>10. Evaluation Methodology</w:t>
      </w:r>
    </w:p>
    <w:p>
      <w:pPr>
        <w:pStyle w:val="BodyText"/>
      </w:pPr>
      <w:r>
        <w:t>The architecture should be evaluated as an empirical system rather than accepted on conceptual appeal. The initial research programme compares organisational reasoning and execution under two conditions: unstructured natural-language interaction and structured machine-operable representations with explicit evidence, governance, and state-transition requirements.</w:t>
      </w:r>
    </w:p>
    <w:p>
      <w:pPr>
        <w:pStyle w:val="Heading2"/>
        <w:keepNext/>
      </w:pPr>
      <w:r>
        <w:t>10.1 Research questions</w:t>
      </w:r>
    </w:p>
    <w:p>
      <w:pPr>
        <w:pStyle w:val="ListNumber"/>
      </w:pPr>
      <w:r>
        <w:t>Do structured organisational representations improve evidence traceability and auditability?</w:t>
      </w:r>
    </w:p>
    <w:p>
      <w:pPr>
        <w:pStyle w:val="ListNumber"/>
      </w:pPr>
      <w:r>
        <w:t>Do explicit authority and governance objects reduce unauthorised or policy-inconsistent outputs?</w:t>
      </w:r>
    </w:p>
    <w:p>
      <w:pPr>
        <w:pStyle w:val="ListNumber"/>
      </w:pPr>
      <w:r>
        <w:t>Do state-transition records improve reproducibility and diagnosis of machine behaviour?</w:t>
      </w:r>
    </w:p>
    <w:p>
      <w:pPr>
        <w:pStyle w:val="ListNumber"/>
      </w:pPr>
      <w:r>
        <w:t>How robust are results to changes in wording, context order, model, and execution environment?</w:t>
      </w:r>
    </w:p>
    <w:p>
      <w:pPr>
        <w:pStyle w:val="ListNumber"/>
      </w:pPr>
      <w:r>
        <w:t>Which organisational concepts can be represented reliably, and which remain dependent on human interpretation?</w:t>
      </w:r>
    </w:p>
    <w:p>
      <w:pPr>
        <w:pStyle w:val="ListNumber"/>
      </w:pPr>
      <w:r>
        <w:t>Do the proposed metrics predict successful, harmful, coherent, or fragile organisational outcomes?</w:t>
      </w:r>
    </w:p>
    <w:p>
      <w:pPr>
        <w:pStyle w:val="Heading2"/>
        <w:keepNext/>
      </w:pPr>
      <w:r>
        <w:t>10.2 Experimental design</w:t>
      </w:r>
    </w:p>
    <w:p>
      <w:pPr>
        <w:pStyle w:val="BodyText"/>
      </w:pPr>
      <w:r>
        <w:t>A benchmark will include governance analysis, capability modelling, policy development, programme design, evidence synthesis, decision preparation, and bounded execution tasks. Each task will be performed repeatedly under both conditions using comparable evidence and target outcomes. Outputs will be evaluated by automated validators and independent human reviewers.</w:t>
      </w:r>
    </w:p>
    <w:p>
      <w:pPr>
        <w:pStyle w:val="Heading2"/>
        <w:keepNext/>
      </w:pPr>
      <w:r>
        <w:t>10.3 Measures</w:t>
      </w:r>
    </w:p>
    <w:p>
      <w:pPr>
        <w:pStyle w:val="ListBullet"/>
      </w:pPr>
      <w:r>
        <w:t>Completeness of required organisational fields.</w:t>
      </w:r>
    </w:p>
    <w:p>
      <w:pPr>
        <w:pStyle w:val="ListBullet"/>
      </w:pPr>
      <w:r>
        <w:t>Coverage and correctness of evidence links.</w:t>
      </w:r>
    </w:p>
    <w:p>
      <w:pPr>
        <w:pStyle w:val="ListBullet"/>
      </w:pPr>
      <w:r>
        <w:t>Compliance with declared governance constraints.</w:t>
      </w:r>
    </w:p>
    <w:p>
      <w:pPr>
        <w:pStyle w:val="ListBullet"/>
      </w:pPr>
      <w:r>
        <w:t>Consistency across repeated runs and prompt perturbations.</w:t>
      </w:r>
    </w:p>
    <w:p>
      <w:pPr>
        <w:pStyle w:val="ListBullet"/>
      </w:pPr>
      <w:r>
        <w:t>Agreement between machine evaluations and human reviewers.</w:t>
      </w:r>
    </w:p>
    <w:p>
      <w:pPr>
        <w:pStyle w:val="ListBullet"/>
      </w:pPr>
      <w:r>
        <w:t>Frequency and severity of unsupported claims or unauthorised actions.</w:t>
      </w:r>
    </w:p>
    <w:p>
      <w:pPr>
        <w:pStyle w:val="ListBullet"/>
      </w:pPr>
      <w:r>
        <w:t>Time and effort required for humans to verify or correct outputs.</w:t>
      </w:r>
    </w:p>
    <w:p>
      <w:pPr>
        <w:pStyle w:val="ListBullet"/>
      </w:pPr>
      <w:r>
        <w:t>Ability to reproduce an outcome from the recorded state and contract.</w:t>
      </w:r>
    </w:p>
    <w:p>
      <w:pPr>
        <w:pStyle w:val="ListBullet"/>
      </w:pPr>
      <w:r>
        <w:t>Observed downstream effects after decisions or actions are implemented.</w:t>
      </w:r>
    </w:p>
    <w:p>
      <w:pPr>
        <w:pStyle w:val="Heading2"/>
        <w:keepNext/>
      </w:pPr>
      <w:r>
        <w:t>10.4 Falsification and failure criteria</w:t>
      </w:r>
    </w:p>
    <w:p>
      <w:pPr>
        <w:pStyle w:val="BodyText"/>
      </w:pPr>
      <w:r>
        <w:t>The programme should treat negative findings as informative. The architecture would be weakened if structured representations increase complexity without improving verification, if metrics fail to correlate with meaningful outcomes, if formal schemas conceal rather than expose uncertainty, or if human reviewers cannot understand or contest machine-produced records. Such failures should trigger revision of the ontology, transition laws, interfaces, or assumptions.</w:t>
      </w:r>
    </w:p>
    <w:p>
      <w:pPr>
        <w:pStyle w:val="Heading2"/>
        <w:keepNext/>
      </w:pPr>
      <w:r>
        <w:t>10.5 Ethics and responsible research</w:t>
      </w:r>
    </w:p>
    <w:p>
      <w:pPr>
        <w:pStyle w:val="BodyText"/>
      </w:pPr>
      <w:r>
        <w:t>Research deployments should avoid delegating consequential decisions to machines without appropriate oversight. Evaluation datasets should minimise unnecessary personal information. Participants affected by organisational experiments should be informed where appropriate, and the system should preserve contestability, correction, and appeal. Public reporting should distinguish validated findings from architectural hypotheses.</w:t>
      </w:r>
    </w:p>
    <w:p>
      <w:pPr>
        <w:pStyle w:val="Heading1"/>
        <w:keepNext/>
      </w:pPr>
      <w:r>
        <w:t>11. Future Research</w:t>
      </w:r>
    </w:p>
    <w:p>
      <w:pPr>
        <w:pStyle w:val="Heading2"/>
        <w:keepNext/>
      </w:pPr>
      <w:r>
        <w:t>11.1 Formal foundations</w:t>
      </w:r>
    </w:p>
    <w:p>
      <w:pPr>
        <w:pStyle w:val="BodyText"/>
      </w:pPr>
      <w:r>
        <w:t>Future work will seek rigorous definitions of capability, organisational composition, equivalence, reachability, identity preservation, and lawful evolution. Candidate mathematical tools include transition systems, category theory, control theory, planning, graph theory, decision theory, Bayesian inference, and denotational semantics. These tools should be adopted only where they clarify observable organisational phenomena.</w:t>
      </w:r>
    </w:p>
    <w:p>
      <w:pPr>
        <w:pStyle w:val="Heading2"/>
        <w:keepNext/>
      </w:pPr>
      <w:r>
        <w:t>11.2 Ontology evolution</w:t>
      </w:r>
    </w:p>
    <w:p>
      <w:pPr>
        <w:pStyle w:val="BodyText"/>
      </w:pPr>
      <w:r>
        <w:t>The ontology itself should evolve in response to evidence. Changes require provenance, compatibility analysis, migration rules, and evaluation of whether a revised concept improves explanation or operation. Ontology evolution is therefore treated as a governed transformation over evidence rather than ad hoc vocabulary editing.</w:t>
      </w:r>
    </w:p>
    <w:p>
      <w:pPr>
        <w:pStyle w:val="Heading2"/>
        <w:keepNext/>
      </w:pPr>
      <w:r>
        <w:t>11.3 Organisational digital twins and simulation</w:t>
      </w:r>
    </w:p>
    <w:p>
      <w:pPr>
        <w:pStyle w:val="BodyText"/>
      </w:pPr>
      <w:r>
        <w:t>As representations become more complete, organisations may be able to simulate proposed transitions before execution. Such simulations could explore capability bottlenecks, governance failure, resource constraints, policy interactions, and resilience. Simulations must remain explicit about uncertainty and should not be mistaken for complete models of human systems.</w:t>
      </w:r>
    </w:p>
    <w:p>
      <w:pPr>
        <w:pStyle w:val="Heading2"/>
        <w:keepNext/>
      </w:pPr>
      <w:r>
        <w:t>11.4 Cross-organisational protocols</w:t>
      </w:r>
    </w:p>
    <w:p>
      <w:pPr>
        <w:pStyle w:val="BodyText"/>
      </w:pPr>
      <w:r>
        <w:t>Shared contracts and object schemas could allow organisations to coordinate without exposing their entire internal state. Future research should examine trust negotiation, verifiable claims, bounded delegation, portable evidence, and interoperability across institutional boundaries.</w:t>
      </w:r>
    </w:p>
    <w:p>
      <w:pPr>
        <w:pStyle w:val="Heading2"/>
        <w:keepNext/>
      </w:pPr>
      <w:r>
        <w:t>11.5 Societal impact</w:t>
      </w:r>
    </w:p>
    <w:p>
      <w:pPr>
        <w:pStyle w:val="BodyText"/>
      </w:pPr>
      <w:r>
        <w:t>Machine-operable organisations could improve transparency and accountability, but they could also intensify surveillance, managerial control, exclusion, or concentration of power. Research must examine who defines the ontology, who can challenge a decision, whose evidence is legible, which values become computational constraints, and which forms of knowledge are lost when formalisation becomes dominant.</w:t>
      </w:r>
    </w:p>
    <w:p>
      <w:pPr>
        <w:pStyle w:val="Heading1"/>
        <w:keepNext/>
      </w:pPr>
      <w:r>
        <w:t>12. Conclusion</w:t>
      </w:r>
    </w:p>
    <w:p>
      <w:pPr>
        <w:pStyle w:val="BodyText"/>
      </w:pPr>
      <w:r>
        <w:t>AI systems are entering organisations faster than organisations are developing the structures needed to govern them. Adding more capable models to opaque organisational environments will not by itself produce accountable or coherent institutions. The missing layer is an explicit operating architecture that connects organisational purpose, capability, authority, evidence, work, decisions, execution, and learning.</w:t>
      </w:r>
    </w:p>
    <w:p>
      <w:pPr>
        <w:pStyle w:val="BodyText"/>
      </w:pPr>
      <w:r>
        <w:t>The machine-operable Organisation Operating System proposed here provides such a layer. It represents organisational objects and transitions in forms that humans and machines can inspect and act upon. It makes machine authority bounded, evidence traceable, governance executable, and organisational change observable. Its value must be established empirically, not assumed.</w:t>
      </w:r>
    </w:p>
    <w:p>
      <w:pPr>
        <w:pStyle w:val="BodyText"/>
      </w:pPr>
      <w:r>
        <w:t>The resulting research programme is concrete and scientifically tractable: define candidate state components; formalise transition laws; instrument machine actions as state-transition records; compute derived quantities such as uncertainty, trust, alignment, resilience, learning, and coherence; and test whether these measures help explain or improve real organisational outcomes. The reference implementation is therefore both an operating system and an experimental apparatus for a developing science of organised systems.</w:t>
      </w:r>
    </w:p>
    <w:p>
      <w:pPr>
        <w:pStyle w:val="Heading1"/>
        <w:keepNext/>
      </w:pPr>
      <w:r>
        <w:t>Appendix A. Minimum viable implementation</w:t>
      </w:r>
    </w:p>
    <w:p>
      <w:pPr>
        <w:pStyle w:val="ListNumber"/>
      </w:pPr>
      <w:r>
        <w:t>Define the organisation identity, purpose, boundaries, and accountable roles.</w:t>
      </w:r>
    </w:p>
    <w:p>
      <w:pPr>
        <w:pStyle w:val="ListNumber"/>
      </w:pPr>
      <w:r>
        <w:t>Create schemas for core objects: evidence, capability, authority, work package, decision, and transition record.</w:t>
      </w:r>
    </w:p>
    <w:p>
      <w:pPr>
        <w:pStyle w:val="ListNumber"/>
      </w:pPr>
      <w:r>
        <w:t>Implement contract validation and rejection receipts.</w:t>
      </w:r>
    </w:p>
    <w:p>
      <w:pPr>
        <w:pStyle w:val="ListNumber"/>
      </w:pPr>
      <w:r>
        <w:t>Instrument every machine workflow with actor identity, authority, evidence, effects, and accountable human.</w:t>
      </w:r>
    </w:p>
    <w:p>
      <w:pPr>
        <w:pStyle w:val="ListNumber"/>
      </w:pPr>
      <w:r>
        <w:t>Create approval gates for money, people, safety, legal, privacy, public claims, and external commitments.</w:t>
      </w:r>
    </w:p>
    <w:p>
      <w:pPr>
        <w:pStyle w:val="ListNumber"/>
      </w:pPr>
      <w:r>
        <w:t>Establish an evidence graph and minimum provenance requirements.</w:t>
      </w:r>
    </w:p>
    <w:p>
      <w:pPr>
        <w:pStyle w:val="ListNumber"/>
      </w:pPr>
      <w:r>
        <w:t>Run pilot work packages using both conventional and structured methods.</w:t>
      </w:r>
    </w:p>
    <w:p>
      <w:pPr>
        <w:pStyle w:val="ListNumber"/>
      </w:pPr>
      <w:r>
        <w:t>Compute initial operational completeness, evidence coverage, authority compliance, and transition validity metrics.</w:t>
      </w:r>
    </w:p>
    <w:p>
      <w:pPr>
        <w:pStyle w:val="ListNumber"/>
      </w:pPr>
      <w:r>
        <w:t>Review failures with affected humans and revise the schemas or operating rules.</w:t>
      </w:r>
    </w:p>
    <w:p>
      <w:pPr>
        <w:pStyle w:val="ListNumber"/>
      </w:pPr>
      <w:r>
        <w:t>Publish the reference implementation, limitations, and evaluation results where appropriate.</w:t>
      </w:r>
    </w:p>
    <w:p>
      <w:pPr>
        <w:pStyle w:val="Heading1"/>
        <w:keepNext/>
      </w:pPr>
      <w:r>
        <w:t>Appendix B. Example machine-action receipt</w:t>
      </w:r>
    </w:p>
    <w:tbl>
      <w:tblPr>
        <w:tblW w:type="auto" w:w="0"/>
        <w:jc w:val="center"/>
        <w:tblLayout w:type="fixed"/>
        <w:tblLook w:firstColumn="1" w:firstRow="1" w:lastColumn="0" w:lastRow="0" w:noHBand="0" w:noVBand="1" w:val="04A0"/>
      </w:tblPr>
      <w:tblGrid>
        <w:gridCol w:w="9360"/>
      </w:tblGrid>
      <w:tr>
        <w:tc>
          <w:tcPr>
            <w:tcW w:type="dxa" w:w="9792"/>
            <w:shd w:fill="F2F2F2"/>
            <w:tcMar>
              <w:top w:w="180" w:type="dxa"/>
              <w:start w:w="220" w:type="dxa"/>
              <w:bottom w:w="180" w:type="dxa"/>
              <w:end w:w="220" w:type="dxa"/>
            </w:tcMar>
          </w:tcPr>
          <w:p>
            <w:pPr>
              <w:spacing w:after="40"/>
            </w:pPr>
            <w:r>
              <w:rPr>
                <w:rFonts w:ascii="Aptos" w:hAnsi="Aptos"/>
                <w:b/>
                <w:color w:val="1F4E79"/>
                <w:sz w:val="19"/>
              </w:rPr>
              <w:t>Illustrative JSON fields</w:t>
              <w:br/>
            </w:r>
            <w:r>
              <w:rPr>
                <w:rFonts w:ascii="Aptos" w:hAnsi="Aptos"/>
                <w:sz w:val="19"/>
              </w:rPr>
              <w:t>{ apiVersion, kind, receiptId, actor, accountableHuman, contractDigest, sourceState, requestedTransition, evidenceRefs, authorityGrant, validations, approvals, effects, resultState, status, uncertainty, exceptions, rollback, finishedAt }</w:t>
            </w:r>
          </w:p>
        </w:tc>
      </w:tr>
    </w:tbl>
    <w:p>
      <w:pPr>
        <w:spacing w:after="0"/>
      </w:pPr>
    </w:p>
    <w:p>
      <w:pPr>
        <w:pStyle w:val="Heading1"/>
        <w:keepNext/>
      </w:pPr>
      <w:r>
        <w:t>Appendix C. Status of claims in this paper</w:t>
      </w:r>
    </w:p>
    <w:tbl>
      <w:tblPr>
        <w:tblW w:type="auto" w:w="0"/>
        <w:jc w:val="center"/>
        <w:tblLook w:firstColumn="1" w:firstRow="1" w:lastColumn="0" w:lastRow="0" w:noHBand="0" w:noVBand="1" w:val="04A0"/>
      </w:tblPr>
      <w:tblGrid>
        <w:gridCol w:w="4896"/>
        <w:gridCol w:w="4896"/>
      </w:tblGrid>
      <w:tr>
        <w:tc>
          <w:tcPr>
            <w:tcW w:type="dxa" w:w="4896"/>
            <w:shd w:fill="1F4E79"/>
          </w:tcPr>
          <w:p>
            <w:pPr>
              <w:spacing w:after="40"/>
            </w:pPr>
            <w:r>
              <w:rPr>
                <w:rFonts w:ascii="Aptos" w:hAnsi="Aptos"/>
                <w:b/>
                <w:color w:val="FFFFFF"/>
                <w:sz w:val="19"/>
              </w:rPr>
              <w:t>Status</w:t>
            </w:r>
          </w:p>
        </w:tc>
        <w:tc>
          <w:tcPr>
            <w:tcW w:type="dxa" w:w="4896"/>
            <w:shd w:fill="1F4E79"/>
          </w:tcPr>
          <w:p>
            <w:pPr>
              <w:spacing w:after="40"/>
            </w:pPr>
            <w:r>
              <w:rPr>
                <w:rFonts w:ascii="Aptos" w:hAnsi="Aptos"/>
                <w:b/>
                <w:color w:val="FFFFFF"/>
                <w:sz w:val="19"/>
              </w:rPr>
              <w:t>Meaning</w:t>
            </w:r>
          </w:p>
        </w:tc>
      </w:tr>
      <w:tr>
        <w:tc>
          <w:tcPr>
            <w:tcW w:type="dxa" w:w="4896"/>
            <w:tcMar>
              <w:top w:w="100" w:type="dxa"/>
              <w:start w:w="120" w:type="dxa"/>
              <w:bottom w:w="100" w:type="dxa"/>
              <w:end w:w="120" w:type="dxa"/>
            </w:tcMar>
          </w:tcPr>
          <w:p>
            <w:pPr>
              <w:spacing w:after="40"/>
            </w:pPr>
            <w:r>
              <w:rPr>
                <w:rFonts w:ascii="Aptos" w:hAnsi="Aptos"/>
                <w:sz w:val="19"/>
              </w:rPr>
              <w:t>Architectural proposal</w:t>
            </w:r>
          </w:p>
        </w:tc>
        <w:tc>
          <w:tcPr>
            <w:tcW w:type="dxa" w:w="4896"/>
            <w:tcMar>
              <w:top w:w="100" w:type="dxa"/>
              <w:start w:w="120" w:type="dxa"/>
              <w:bottom w:w="100" w:type="dxa"/>
              <w:end w:w="120" w:type="dxa"/>
            </w:tcMar>
          </w:tcPr>
          <w:p>
            <w:pPr>
              <w:spacing w:after="40"/>
            </w:pPr>
            <w:r>
              <w:rPr>
                <w:rFonts w:ascii="Aptos" w:hAnsi="Aptos"/>
                <w:sz w:val="19"/>
              </w:rPr>
              <w:t>The layered OOS and object model are proposed as a reference architecture.</w:t>
            </w:r>
          </w:p>
        </w:tc>
      </w:tr>
      <w:tr>
        <w:tc>
          <w:tcPr>
            <w:tcW w:type="dxa" w:w="4896"/>
            <w:tcMar>
              <w:top w:w="100" w:type="dxa"/>
              <w:start w:w="120" w:type="dxa"/>
              <w:bottom w:w="100" w:type="dxa"/>
              <w:end w:w="120" w:type="dxa"/>
            </w:tcMar>
          </w:tcPr>
          <w:p>
            <w:pPr>
              <w:spacing w:after="40"/>
            </w:pPr>
            <w:r>
              <w:rPr>
                <w:rFonts w:ascii="Aptos" w:hAnsi="Aptos"/>
                <w:sz w:val="19"/>
              </w:rPr>
              <w:t>Implemented engineering direction</w:t>
            </w:r>
          </w:p>
        </w:tc>
        <w:tc>
          <w:tcPr>
            <w:tcW w:type="dxa" w:w="4896"/>
            <w:tcMar>
              <w:top w:w="100" w:type="dxa"/>
              <w:start w:w="120" w:type="dxa"/>
              <w:bottom w:w="100" w:type="dxa"/>
              <w:end w:w="120" w:type="dxa"/>
            </w:tcMar>
          </w:tcPr>
          <w:p>
            <w:pPr>
              <w:spacing w:after="40"/>
            </w:pPr>
            <w:r>
              <w:rPr>
                <w:rFonts w:ascii="Aptos" w:hAnsi="Aptos"/>
                <w:sz w:val="19"/>
              </w:rPr>
              <w:t>Repository structures, schemas, validators, workflows, receipts, and observability mechanisms are suitable for implementation and partial reference implementations exist within the broader EduLinked programme.</w:t>
            </w:r>
          </w:p>
        </w:tc>
      </w:tr>
      <w:tr>
        <w:tc>
          <w:tcPr>
            <w:tcW w:type="dxa" w:w="4896"/>
            <w:tcMar>
              <w:top w:w="100" w:type="dxa"/>
              <w:start w:w="120" w:type="dxa"/>
              <w:bottom w:w="100" w:type="dxa"/>
              <w:end w:w="120" w:type="dxa"/>
            </w:tcMar>
          </w:tcPr>
          <w:p>
            <w:pPr>
              <w:spacing w:after="40"/>
            </w:pPr>
            <w:r>
              <w:rPr>
                <w:rFonts w:ascii="Aptos" w:hAnsi="Aptos"/>
                <w:sz w:val="19"/>
              </w:rPr>
              <w:t>Research hypothesis</w:t>
            </w:r>
          </w:p>
        </w:tc>
        <w:tc>
          <w:tcPr>
            <w:tcW w:type="dxa" w:w="4896"/>
            <w:tcMar>
              <w:top w:w="100" w:type="dxa"/>
              <w:start w:w="120" w:type="dxa"/>
              <w:bottom w:w="100" w:type="dxa"/>
              <w:end w:w="120" w:type="dxa"/>
            </w:tcMar>
          </w:tcPr>
          <w:p>
            <w:pPr>
              <w:spacing w:after="40"/>
            </w:pPr>
            <w:r>
              <w:rPr>
                <w:rFonts w:ascii="Aptos" w:hAnsi="Aptos"/>
                <w:sz w:val="19"/>
              </w:rPr>
              <w:t>The six derived quantities and twelve transition laws require empirical and formal validation.</w:t>
            </w:r>
          </w:p>
        </w:tc>
      </w:tr>
      <w:tr>
        <w:tc>
          <w:tcPr>
            <w:tcW w:type="dxa" w:w="4896"/>
            <w:tcMar>
              <w:top w:w="100" w:type="dxa"/>
              <w:start w:w="120" w:type="dxa"/>
              <w:bottom w:w="100" w:type="dxa"/>
              <w:end w:w="120" w:type="dxa"/>
            </w:tcMar>
          </w:tcPr>
          <w:p>
            <w:pPr>
              <w:spacing w:after="40"/>
            </w:pPr>
            <w:r>
              <w:rPr>
                <w:rFonts w:ascii="Aptos" w:hAnsi="Aptos"/>
                <w:sz w:val="19"/>
              </w:rPr>
              <w:t>Long-term scientific programme</w:t>
            </w:r>
          </w:p>
        </w:tc>
        <w:tc>
          <w:tcPr>
            <w:tcW w:type="dxa" w:w="4896"/>
            <w:tcMar>
              <w:top w:w="100" w:type="dxa"/>
              <w:start w:w="120" w:type="dxa"/>
              <w:bottom w:w="100" w:type="dxa"/>
              <w:end w:w="120" w:type="dxa"/>
            </w:tcMar>
          </w:tcPr>
          <w:p>
            <w:pPr>
              <w:spacing w:after="40"/>
            </w:pPr>
            <w:r>
              <w:rPr>
                <w:rFonts w:ascii="Aptos" w:hAnsi="Aptos"/>
                <w:sz w:val="19"/>
              </w:rPr>
              <w:t>A general mathematical science of organised systems remains open and should not be treated as established.</w:t>
            </w:r>
          </w:p>
        </w:tc>
      </w:tr>
      <w:tr>
        <w:tc>
          <w:tcPr>
            <w:tcW w:type="dxa" w:w="4896"/>
            <w:tcMar>
              <w:top w:w="100" w:type="dxa"/>
              <w:start w:w="120" w:type="dxa"/>
              <w:bottom w:w="100" w:type="dxa"/>
              <w:end w:w="120" w:type="dxa"/>
            </w:tcMar>
          </w:tcPr>
          <w:p>
            <w:pPr>
              <w:spacing w:after="40"/>
            </w:pPr>
            <w:r>
              <w:rPr>
                <w:rFonts w:ascii="Aptos" w:hAnsi="Aptos"/>
                <w:sz w:val="19"/>
              </w:rPr>
              <w:t>Normative commitment</w:t>
            </w:r>
          </w:p>
        </w:tc>
        <w:tc>
          <w:tcPr>
            <w:tcW w:type="dxa" w:w="4896"/>
            <w:tcMar>
              <w:top w:w="100" w:type="dxa"/>
              <w:start w:w="120" w:type="dxa"/>
              <w:bottom w:w="100" w:type="dxa"/>
              <w:end w:w="120" w:type="dxa"/>
            </w:tcMar>
          </w:tcPr>
          <w:p>
            <w:pPr>
              <w:spacing w:after="40"/>
            </w:pPr>
            <w:r>
              <w:rPr>
                <w:rFonts w:ascii="Aptos" w:hAnsi="Aptos"/>
                <w:sz w:val="19"/>
              </w:rPr>
              <w:t>Human accountability, contestability, evidence provenance, and bounded machine authority are design commitments of the architecture.</w:t>
            </w:r>
          </w:p>
        </w:tc>
      </w:tr>
    </w:tbl>
    <w:sectPr w:rsidR="00FC693F" w:rsidRPr="0006063C" w:rsidSect="00034616">
      <w:footerReference w:type="default" r:id="rId9"/>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color w:val="6E6E6E"/>
        <w:sz w:val="16"/>
      </w:rPr>
      <w:t xml:space="preserve">EduLinked Pty Ltd  |  Machine-Operable Organisation Operating System  |  </w:t>
    </w:r>
    <w:r>
      <w:rPr>
        <w:color w:val="6E6E6E"/>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2F75B5"/>
      <w:sz w:val="28"/>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Display" w:hAnsi="Aptos Display"/>
      <w:b/>
      <w:bCs/>
      <w:color w:val="3F3F3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95959"/>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9" w:lineRule="auto"/>
    </w:pPr>
    <w:rPr>
      <w:rFonts w:ascii="Aptos" w:hAnsi="Aptos"/>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Machine-Operable Organisation Operating System</dc:title>
  <dc:subject>Reference architecture for evidence-based, human-governed AI organisations</dc:subject>
  <dc:creator>Sarah Ailish McLoughlin, EduLinked Pty Ltd</dc:creator>
  <cp:keywords>organisation operating system, organisation science, AI governance, machine-operable organisations</cp:keywords>
  <dc:description>generated by python-docx</dc:description>
  <cp:lastModifiedBy/>
  <cp:revision>1</cp:revision>
  <dcterms:created xsi:type="dcterms:W3CDTF">2013-12-23T23:15:00Z</dcterms:created>
  <dcterms:modified xsi:type="dcterms:W3CDTF">2013-12-23T23:15:00Z</dcterms:modified>
  <cp:category/>
</cp:coreProperties>
</file>